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FA" w:rsidRDefault="00412DFA">
      <w:pPr>
        <w:pStyle w:val="ConsPlusNormal"/>
        <w:outlineLvl w:val="0"/>
      </w:pPr>
      <w:r>
        <w:t>Зарегистрировано в Минюсте России 1 февраля 2021 г. N 62306</w:t>
      </w:r>
    </w:p>
    <w:p w:rsidR="00412DFA" w:rsidRDefault="00412DFA">
      <w:pPr>
        <w:pStyle w:val="ConsPlusNormal"/>
        <w:pBdr>
          <w:top w:val="single" w:sz="6" w:space="0" w:color="auto"/>
        </w:pBdr>
        <w:spacing w:before="100" w:after="100"/>
        <w:jc w:val="both"/>
        <w:rPr>
          <w:sz w:val="2"/>
          <w:szCs w:val="2"/>
        </w:rPr>
      </w:pPr>
    </w:p>
    <w:p w:rsidR="00412DFA" w:rsidRDefault="00412DFA">
      <w:pPr>
        <w:pStyle w:val="ConsPlusNormal"/>
        <w:jc w:val="both"/>
      </w:pPr>
    </w:p>
    <w:p w:rsidR="00412DFA" w:rsidRDefault="00412DFA">
      <w:pPr>
        <w:pStyle w:val="ConsPlusTitle"/>
        <w:jc w:val="center"/>
      </w:pPr>
      <w:r>
        <w:t>МИНИСТЕРСТВО ПРИРОДНЫХ РЕСУРСОВ И ЭКОЛОГИИ</w:t>
      </w:r>
    </w:p>
    <w:p w:rsidR="00412DFA" w:rsidRDefault="00412DFA">
      <w:pPr>
        <w:pStyle w:val="ConsPlusTitle"/>
        <w:jc w:val="center"/>
      </w:pPr>
      <w:r>
        <w:t>РОССИЙСКОЙ ФЕДЕРАЦИИ</w:t>
      </w:r>
    </w:p>
    <w:p w:rsidR="00412DFA" w:rsidRDefault="00412DFA">
      <w:pPr>
        <w:pStyle w:val="ConsPlusTitle"/>
        <w:jc w:val="center"/>
      </w:pPr>
    </w:p>
    <w:p w:rsidR="00412DFA" w:rsidRDefault="00412DFA">
      <w:pPr>
        <w:pStyle w:val="ConsPlusTitle"/>
        <w:jc w:val="center"/>
      </w:pPr>
      <w:r>
        <w:t>ФЕДЕРАЛЬНОЕ АГЕНТСТВО ПО НЕДРОПОЛЬЗОВАНИЮ</w:t>
      </w:r>
    </w:p>
    <w:p w:rsidR="00412DFA" w:rsidRDefault="00412DFA">
      <w:pPr>
        <w:pStyle w:val="ConsPlusTitle"/>
        <w:jc w:val="center"/>
      </w:pPr>
    </w:p>
    <w:p w:rsidR="00412DFA" w:rsidRDefault="00412DFA">
      <w:pPr>
        <w:pStyle w:val="ConsPlusTitle"/>
        <w:jc w:val="center"/>
      </w:pPr>
      <w:r>
        <w:t>ПРИКАЗ</w:t>
      </w:r>
    </w:p>
    <w:p w:rsidR="00412DFA" w:rsidRDefault="00412DFA">
      <w:pPr>
        <w:pStyle w:val="ConsPlusTitle"/>
        <w:jc w:val="center"/>
      </w:pPr>
      <w:r>
        <w:t>от 6 октября 2020 г. N 428</w:t>
      </w:r>
    </w:p>
    <w:p w:rsidR="00412DFA" w:rsidRDefault="00412DFA">
      <w:pPr>
        <w:pStyle w:val="ConsPlusTitle"/>
        <w:jc w:val="center"/>
      </w:pPr>
    </w:p>
    <w:p w:rsidR="00412DFA" w:rsidRDefault="00412DFA">
      <w:pPr>
        <w:pStyle w:val="ConsPlusTitle"/>
        <w:jc w:val="center"/>
      </w:pPr>
      <w:r>
        <w:t>ОБ УТВЕРЖДЕНИИ ПОРЯДКА</w:t>
      </w:r>
    </w:p>
    <w:p w:rsidR="00412DFA" w:rsidRDefault="00412DFA">
      <w:pPr>
        <w:pStyle w:val="ConsPlusTitle"/>
        <w:jc w:val="center"/>
      </w:pPr>
      <w:r>
        <w:t>ПОДГОТОВКИ, РАССМОТРЕНИЯ, СОГЛАСОВАНИЯ ПЕРЕЧНЕЙ УЧАСТКОВ</w:t>
      </w:r>
    </w:p>
    <w:p w:rsidR="00412DFA" w:rsidRDefault="00412DFA">
      <w:pPr>
        <w:pStyle w:val="ConsPlusTitle"/>
        <w:jc w:val="center"/>
      </w:pPr>
      <w:proofErr w:type="gramStart"/>
      <w:r>
        <w:t>НЕДР МЕСТНОГО ЗНАЧЕНИЯ, СОДЕРЖАЩИХ ОБЩЕРАСПРОСТРАНЕННЫЕ</w:t>
      </w:r>
      <w:proofErr w:type="gramEnd"/>
    </w:p>
    <w:p w:rsidR="00412DFA" w:rsidRDefault="00412DFA">
      <w:pPr>
        <w:pStyle w:val="ConsPlusTitle"/>
        <w:jc w:val="center"/>
      </w:pPr>
      <w:r>
        <w:t>ПОЛЕЗНЫЕ ИСКОПАЕМЫЕ, ИЛИ ОТКАЗА В СОГЛАСОВАНИИ</w:t>
      </w:r>
    </w:p>
    <w:p w:rsidR="00412DFA" w:rsidRDefault="00412DFA">
      <w:pPr>
        <w:pStyle w:val="ConsPlusTitle"/>
        <w:jc w:val="center"/>
      </w:pPr>
      <w:r>
        <w:t>ТАКИХ ПЕРЕЧНЕЙ</w:t>
      </w:r>
    </w:p>
    <w:p w:rsidR="00412DFA" w:rsidRDefault="00412DFA">
      <w:pPr>
        <w:pStyle w:val="ConsPlusNormal"/>
        <w:jc w:val="both"/>
      </w:pPr>
    </w:p>
    <w:p w:rsidR="00412DFA" w:rsidRDefault="00412DFA">
      <w:pPr>
        <w:pStyle w:val="ConsPlusNormal"/>
        <w:ind w:firstLine="540"/>
        <w:jc w:val="both"/>
      </w:pPr>
      <w:r>
        <w:t xml:space="preserve">В соответствии с </w:t>
      </w:r>
      <w:hyperlink r:id="rId4" w:history="1">
        <w:r>
          <w:rPr>
            <w:color w:val="0000FF"/>
          </w:rPr>
          <w:t>частью 3 статьи 2.3</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w:t>
      </w:r>
      <w:proofErr w:type="gramStart"/>
      <w:r>
        <w:t xml:space="preserve">2019, N 52, ст. 7823), </w:t>
      </w:r>
      <w:hyperlink r:id="rId5" w:history="1">
        <w:r>
          <w:rPr>
            <w:color w:val="0000FF"/>
          </w:rPr>
          <w:t>подпунктом "г" пункта 4</w:t>
        </w:r>
      </w:hyperlink>
      <w:r>
        <w:t xml:space="preserve"> постановления Правительства Российской Федерации от 06.04.2004 N 171 "Вопросы Федерального агентства по </w:t>
      </w:r>
      <w:proofErr w:type="spellStart"/>
      <w:r>
        <w:t>недропользованию</w:t>
      </w:r>
      <w:proofErr w:type="spellEnd"/>
      <w:r>
        <w:t>" (Собрание законодательства Российской Федерации, 2004, N 15, ст. 1463; 2015, N 52, ст. 7615) приказываю:</w:t>
      </w:r>
      <w:proofErr w:type="gramEnd"/>
    </w:p>
    <w:p w:rsidR="00412DFA" w:rsidRDefault="00412DFA">
      <w:pPr>
        <w:pStyle w:val="ConsPlusNormal"/>
        <w:spacing w:before="220"/>
        <w:ind w:firstLine="540"/>
        <w:jc w:val="both"/>
      </w:pPr>
      <w:r>
        <w:t xml:space="preserve">1. Утвердить прилагаемый </w:t>
      </w:r>
      <w:hyperlink w:anchor="P43" w:history="1">
        <w:r>
          <w:rPr>
            <w:color w:val="0000FF"/>
          </w:rPr>
          <w:t>Порядок</w:t>
        </w:r>
      </w:hyperlink>
      <w:r>
        <w:t xml:space="preserve">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w:t>
      </w:r>
    </w:p>
    <w:p w:rsidR="00412DFA" w:rsidRDefault="00412DFA">
      <w:pPr>
        <w:pStyle w:val="ConsPlusNormal"/>
        <w:spacing w:before="220"/>
        <w:ind w:firstLine="540"/>
        <w:jc w:val="both"/>
      </w:pPr>
      <w:r>
        <w:t>2. Признать утратившими силу:</w:t>
      </w:r>
    </w:p>
    <w:p w:rsidR="00412DFA" w:rsidRDefault="00412DFA">
      <w:pPr>
        <w:pStyle w:val="ConsPlusNormal"/>
        <w:spacing w:before="220"/>
        <w:ind w:firstLine="540"/>
        <w:jc w:val="both"/>
      </w:pPr>
      <w:hyperlink r:id="rId6" w:history="1">
        <w:r>
          <w:rPr>
            <w:color w:val="0000FF"/>
          </w:rPr>
          <w:t>приказ</w:t>
        </w:r>
      </w:hyperlink>
      <w:r>
        <w:t xml:space="preserve"> Федерального агентства по </w:t>
      </w:r>
      <w:proofErr w:type="spellStart"/>
      <w:r>
        <w:t>недропользованию</w:t>
      </w:r>
      <w:proofErr w:type="spellEnd"/>
      <w:r>
        <w:t xml:space="preserve"> от 15 июня 2012 г. N 687 "Об утверждении Порядка подготовки, рассмотрения, согласования перечней участков недр местного значения или отказа в согласовании таких перечней" (зарегистрирован Минюстом России 20 июля 2012 г., регистрационный N 24960);</w:t>
      </w:r>
    </w:p>
    <w:p w:rsidR="00412DFA" w:rsidRDefault="00412DFA">
      <w:pPr>
        <w:pStyle w:val="ConsPlusNormal"/>
        <w:spacing w:before="220"/>
        <w:ind w:firstLine="540"/>
        <w:jc w:val="both"/>
      </w:pPr>
      <w:hyperlink r:id="rId7" w:history="1">
        <w:proofErr w:type="gramStart"/>
        <w:r>
          <w:rPr>
            <w:color w:val="0000FF"/>
          </w:rPr>
          <w:t>приказ</w:t>
        </w:r>
      </w:hyperlink>
      <w:r>
        <w:t xml:space="preserve"> Федерального агентства по </w:t>
      </w:r>
      <w:proofErr w:type="spellStart"/>
      <w:r>
        <w:t>недропользованию</w:t>
      </w:r>
      <w:proofErr w:type="spellEnd"/>
      <w:r>
        <w:t xml:space="preserve"> от 5 ноября 2013 г. N 898 "О внесении изменений в Порядок подготовки, рассмотрения, согласования перечней участков недр местного значения или отказа в согласовании таких перечней, утвержденный приказом Федерального агентства по </w:t>
      </w:r>
      <w:proofErr w:type="spellStart"/>
      <w:r>
        <w:t>недропользованию</w:t>
      </w:r>
      <w:proofErr w:type="spellEnd"/>
      <w:r>
        <w:t xml:space="preserve"> от 15 июня 2012 г. N 687" (зарегистрирован Минюстом России 31 декабря 2013 г., регистрационный N 30937);</w:t>
      </w:r>
      <w:proofErr w:type="gramEnd"/>
    </w:p>
    <w:p w:rsidR="00412DFA" w:rsidRDefault="00412DFA">
      <w:pPr>
        <w:pStyle w:val="ConsPlusNormal"/>
        <w:spacing w:before="220"/>
        <w:ind w:firstLine="540"/>
        <w:jc w:val="both"/>
      </w:pPr>
      <w:hyperlink r:id="rId8" w:history="1">
        <w:proofErr w:type="gramStart"/>
        <w:r>
          <w:rPr>
            <w:color w:val="0000FF"/>
          </w:rPr>
          <w:t>приказ</w:t>
        </w:r>
      </w:hyperlink>
      <w:r>
        <w:t xml:space="preserve"> Федерального агентства по </w:t>
      </w:r>
      <w:proofErr w:type="spellStart"/>
      <w:r>
        <w:t>недропользованию</w:t>
      </w:r>
      <w:proofErr w:type="spellEnd"/>
      <w:r>
        <w:t xml:space="preserve"> от 21 января 2016 г. N 23 "О внесении изменения в Порядок подготовки, рассмотрения, согласования перечней участков недр местного значения или отказа в согласовании таких перечней, утвержденный приказом Федерального агентства по </w:t>
      </w:r>
      <w:proofErr w:type="spellStart"/>
      <w:r>
        <w:t>недропользованию</w:t>
      </w:r>
      <w:proofErr w:type="spellEnd"/>
      <w:r>
        <w:t xml:space="preserve"> от 15 июня 2012 г. N 687" (зарегистрирован Минюстом России 20 февраля 2016 г., регистрационный N 41176);</w:t>
      </w:r>
      <w:proofErr w:type="gramEnd"/>
    </w:p>
    <w:p w:rsidR="00412DFA" w:rsidRDefault="00412DFA">
      <w:pPr>
        <w:pStyle w:val="ConsPlusNormal"/>
        <w:spacing w:before="220"/>
        <w:ind w:firstLine="540"/>
        <w:jc w:val="both"/>
      </w:pPr>
      <w:hyperlink r:id="rId9" w:history="1">
        <w:proofErr w:type="gramStart"/>
        <w:r>
          <w:rPr>
            <w:color w:val="0000FF"/>
          </w:rPr>
          <w:t>приказ</w:t>
        </w:r>
      </w:hyperlink>
      <w:r>
        <w:t xml:space="preserve"> Федерального агентства по </w:t>
      </w:r>
      <w:proofErr w:type="spellStart"/>
      <w:r>
        <w:t>недропользованию</w:t>
      </w:r>
      <w:proofErr w:type="spellEnd"/>
      <w:r>
        <w:t xml:space="preserve"> от 22 августа 2016 г. N 514 "О внесении изменений в Порядок подготовки, рассмотрения, согласования перечней участков недр местного значения или отказа в согласовании таких перечней, утвержденный приказом Федерального агентства по </w:t>
      </w:r>
      <w:proofErr w:type="spellStart"/>
      <w:r>
        <w:t>недропользованию</w:t>
      </w:r>
      <w:proofErr w:type="spellEnd"/>
      <w:r>
        <w:t xml:space="preserve"> от 15 июня 2012 г. N 687" (зарегистрирован Минюстом России 28 сентября 2016 г., регистрационный N 43852);</w:t>
      </w:r>
      <w:proofErr w:type="gramEnd"/>
    </w:p>
    <w:p w:rsidR="00412DFA" w:rsidRDefault="00412DFA">
      <w:pPr>
        <w:pStyle w:val="ConsPlusNormal"/>
        <w:spacing w:before="220"/>
        <w:ind w:firstLine="540"/>
        <w:jc w:val="both"/>
      </w:pPr>
      <w:hyperlink r:id="rId10" w:history="1">
        <w:proofErr w:type="gramStart"/>
        <w:r>
          <w:rPr>
            <w:color w:val="0000FF"/>
          </w:rPr>
          <w:t>приказ</w:t>
        </w:r>
      </w:hyperlink>
      <w:r>
        <w:t xml:space="preserve"> Федерального агентства по </w:t>
      </w:r>
      <w:proofErr w:type="spellStart"/>
      <w:r>
        <w:t>недропользованию</w:t>
      </w:r>
      <w:proofErr w:type="spellEnd"/>
      <w:r>
        <w:t xml:space="preserve"> от 12 октября 2018 г. N 457 "О </w:t>
      </w:r>
      <w:r>
        <w:lastRenderedPageBreak/>
        <w:t xml:space="preserve">внесении изменений в Порядок подготовки, рассмотрения, согласования перечней участков недр местного значения или отказа в согласовании таких перечней, утвержденный приказом Федерального агентства по </w:t>
      </w:r>
      <w:proofErr w:type="spellStart"/>
      <w:r>
        <w:t>недропользованию</w:t>
      </w:r>
      <w:proofErr w:type="spellEnd"/>
      <w:r>
        <w:t xml:space="preserve"> от 15 июня 2012 г. N 687" (зарегистрирован Минюстом России 8 ноября 2018 г., регистрационный N 52645).</w:t>
      </w:r>
      <w:proofErr w:type="gramEnd"/>
    </w:p>
    <w:p w:rsidR="00412DFA" w:rsidRDefault="00412DFA">
      <w:pPr>
        <w:pStyle w:val="ConsPlusNormal"/>
        <w:jc w:val="both"/>
      </w:pPr>
    </w:p>
    <w:p w:rsidR="00412DFA" w:rsidRDefault="00412DFA">
      <w:pPr>
        <w:pStyle w:val="ConsPlusNormal"/>
        <w:jc w:val="right"/>
      </w:pPr>
      <w:r>
        <w:t>Заместитель Министра</w:t>
      </w:r>
    </w:p>
    <w:p w:rsidR="00412DFA" w:rsidRDefault="00412DFA">
      <w:pPr>
        <w:pStyle w:val="ConsPlusNormal"/>
        <w:jc w:val="right"/>
      </w:pPr>
      <w:r>
        <w:t>природных ресурсов и экологии</w:t>
      </w:r>
    </w:p>
    <w:p w:rsidR="00412DFA" w:rsidRDefault="00412DFA">
      <w:pPr>
        <w:pStyle w:val="ConsPlusNormal"/>
        <w:jc w:val="right"/>
      </w:pPr>
      <w:r>
        <w:t>Российской Федерации -</w:t>
      </w:r>
    </w:p>
    <w:p w:rsidR="00412DFA" w:rsidRDefault="00412DFA">
      <w:pPr>
        <w:pStyle w:val="ConsPlusNormal"/>
        <w:jc w:val="right"/>
      </w:pPr>
      <w:r>
        <w:t xml:space="preserve">руководитель </w:t>
      </w:r>
      <w:proofErr w:type="gramStart"/>
      <w:r>
        <w:t>Федерального</w:t>
      </w:r>
      <w:proofErr w:type="gramEnd"/>
    </w:p>
    <w:p w:rsidR="00412DFA" w:rsidRDefault="00412DFA">
      <w:pPr>
        <w:pStyle w:val="ConsPlusNormal"/>
        <w:jc w:val="right"/>
      </w:pPr>
      <w:r>
        <w:t xml:space="preserve">агентства по </w:t>
      </w:r>
      <w:proofErr w:type="spellStart"/>
      <w:r>
        <w:t>недропользованию</w:t>
      </w:r>
      <w:proofErr w:type="spellEnd"/>
    </w:p>
    <w:p w:rsidR="00412DFA" w:rsidRDefault="00412DFA">
      <w:pPr>
        <w:pStyle w:val="ConsPlusNormal"/>
        <w:jc w:val="right"/>
      </w:pPr>
      <w:r>
        <w:t>Е.А.КИСЕЛЕВ</w:t>
      </w:r>
    </w:p>
    <w:p w:rsidR="00412DFA" w:rsidRDefault="00412DFA">
      <w:pPr>
        <w:pStyle w:val="ConsPlusNormal"/>
        <w:jc w:val="both"/>
      </w:pPr>
    </w:p>
    <w:p w:rsidR="00412DFA" w:rsidRDefault="00412DFA">
      <w:pPr>
        <w:pStyle w:val="ConsPlusNormal"/>
        <w:jc w:val="both"/>
      </w:pPr>
    </w:p>
    <w:p w:rsidR="00412DFA" w:rsidRDefault="00412DFA">
      <w:pPr>
        <w:pStyle w:val="ConsPlusNormal"/>
        <w:jc w:val="both"/>
      </w:pPr>
    </w:p>
    <w:p w:rsidR="00412DFA" w:rsidRDefault="00412DFA">
      <w:pPr>
        <w:pStyle w:val="ConsPlusNormal"/>
        <w:jc w:val="both"/>
      </w:pPr>
    </w:p>
    <w:p w:rsidR="00412DFA" w:rsidRDefault="00412DFA">
      <w:pPr>
        <w:pStyle w:val="ConsPlusNormal"/>
        <w:jc w:val="both"/>
      </w:pPr>
    </w:p>
    <w:p w:rsidR="00412DFA" w:rsidRDefault="00412DFA">
      <w:pPr>
        <w:pStyle w:val="ConsPlusNormal"/>
        <w:jc w:val="right"/>
        <w:outlineLvl w:val="0"/>
      </w:pPr>
      <w:r>
        <w:t>Утвержден</w:t>
      </w:r>
    </w:p>
    <w:p w:rsidR="00412DFA" w:rsidRDefault="00412DFA">
      <w:pPr>
        <w:pStyle w:val="ConsPlusNormal"/>
        <w:jc w:val="right"/>
      </w:pPr>
      <w:r>
        <w:t>приказом Федерального агентства</w:t>
      </w:r>
    </w:p>
    <w:p w:rsidR="00412DFA" w:rsidRDefault="00412DFA">
      <w:pPr>
        <w:pStyle w:val="ConsPlusNormal"/>
        <w:jc w:val="right"/>
      </w:pPr>
      <w:r>
        <w:t xml:space="preserve">по </w:t>
      </w:r>
      <w:proofErr w:type="spellStart"/>
      <w:r>
        <w:t>недропользованию</w:t>
      </w:r>
      <w:proofErr w:type="spellEnd"/>
    </w:p>
    <w:p w:rsidR="00412DFA" w:rsidRDefault="00412DFA">
      <w:pPr>
        <w:pStyle w:val="ConsPlusNormal"/>
        <w:jc w:val="right"/>
      </w:pPr>
      <w:r>
        <w:t>от 06.10.2020 N 428</w:t>
      </w:r>
    </w:p>
    <w:p w:rsidR="00412DFA" w:rsidRDefault="00412DFA">
      <w:pPr>
        <w:pStyle w:val="ConsPlusNormal"/>
        <w:jc w:val="both"/>
      </w:pPr>
    </w:p>
    <w:p w:rsidR="00412DFA" w:rsidRDefault="00412DFA">
      <w:pPr>
        <w:pStyle w:val="ConsPlusTitle"/>
        <w:jc w:val="center"/>
      </w:pPr>
      <w:bookmarkStart w:id="0" w:name="P43"/>
      <w:bookmarkEnd w:id="0"/>
      <w:r>
        <w:t>ПОРЯДОК</w:t>
      </w:r>
    </w:p>
    <w:p w:rsidR="00412DFA" w:rsidRDefault="00412DFA">
      <w:pPr>
        <w:pStyle w:val="ConsPlusTitle"/>
        <w:jc w:val="center"/>
      </w:pPr>
      <w:r>
        <w:t>ПОДГОТОВКИ, РАССМОТРЕНИЯ, СОГЛАСОВАНИЯ ПЕРЕЧНЕЙ УЧАСТКОВ</w:t>
      </w:r>
    </w:p>
    <w:p w:rsidR="00412DFA" w:rsidRDefault="00412DFA">
      <w:pPr>
        <w:pStyle w:val="ConsPlusTitle"/>
        <w:jc w:val="center"/>
      </w:pPr>
      <w:proofErr w:type="gramStart"/>
      <w:r>
        <w:t>НЕДР МЕСТНОГО ЗНАЧЕНИЯ, СОДЕРЖАЩИХ ОБЩЕРАСПРОСТРАНЕННЫЕ</w:t>
      </w:r>
      <w:proofErr w:type="gramEnd"/>
    </w:p>
    <w:p w:rsidR="00412DFA" w:rsidRDefault="00412DFA">
      <w:pPr>
        <w:pStyle w:val="ConsPlusTitle"/>
        <w:jc w:val="center"/>
      </w:pPr>
      <w:r>
        <w:t>ПОЛЕЗНЫЕ ИСКОПАЕМЫЕ, ИЛИ ОТКАЗА В СОГЛАСОВАНИИ</w:t>
      </w:r>
    </w:p>
    <w:p w:rsidR="00412DFA" w:rsidRDefault="00412DFA">
      <w:pPr>
        <w:pStyle w:val="ConsPlusTitle"/>
        <w:jc w:val="center"/>
      </w:pPr>
      <w:r>
        <w:t>ТАКИХ ПЕРЕЧНЕЙ</w:t>
      </w:r>
    </w:p>
    <w:p w:rsidR="00412DFA" w:rsidRDefault="00412DFA">
      <w:pPr>
        <w:pStyle w:val="ConsPlusNormal"/>
        <w:jc w:val="both"/>
      </w:pPr>
    </w:p>
    <w:p w:rsidR="00412DFA" w:rsidRDefault="00412DFA">
      <w:pPr>
        <w:pStyle w:val="ConsPlusNormal"/>
        <w:ind w:firstLine="540"/>
        <w:jc w:val="both"/>
      </w:pPr>
      <w:r>
        <w:t xml:space="preserve">1. </w:t>
      </w:r>
      <w:proofErr w:type="gramStart"/>
      <w:r>
        <w:t xml:space="preserve">Порядок подготовки, рассмотрения, согласования перечней участков недр местного значения, содержащих общераспространенные полезные ископаемые, или отказа в согласовании таких перечней (далее - Порядок) разработан в соответствии со </w:t>
      </w:r>
      <w:hyperlink r:id="rId11" w:history="1">
        <w:r>
          <w:rPr>
            <w:color w:val="0000FF"/>
          </w:rPr>
          <w:t>статьей 2.3</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w:t>
      </w:r>
      <w:proofErr w:type="gramEnd"/>
      <w:r>
        <w:t xml:space="preserve"> </w:t>
      </w:r>
      <w:proofErr w:type="gramStart"/>
      <w:r>
        <w:t>Собрание законодательства Российской Федерации, 1995, N 10, ст. 823; 2019, N 52, ст. 7823) (далее - Закон Российской Федерации "О недрах") и регламентирует процедуру подготовки, рассмотрения, согласования перечней участков недр местного значения, содержащих общераспространенные полезные ископаемые (далее - перечень участков недр местного значения), или отказа в согласовании перечней участков недр местного значения.</w:t>
      </w:r>
      <w:proofErr w:type="gramEnd"/>
    </w:p>
    <w:p w:rsidR="00412DFA" w:rsidRDefault="00412DFA">
      <w:pPr>
        <w:pStyle w:val="ConsPlusNormal"/>
        <w:spacing w:before="220"/>
        <w:ind w:firstLine="540"/>
        <w:jc w:val="both"/>
      </w:pPr>
      <w:r>
        <w:t xml:space="preserve">2. </w:t>
      </w:r>
      <w:proofErr w:type="gramStart"/>
      <w:r>
        <w:t xml:space="preserve">В перечень участков недр местного значения органом исполнительной власти субъекта Российской Федерации, уполномоченным в сфере регулирования отношений </w:t>
      </w:r>
      <w:proofErr w:type="spellStart"/>
      <w:r>
        <w:t>недропользования</w:t>
      </w:r>
      <w:proofErr w:type="spellEnd"/>
      <w:r>
        <w:t xml:space="preserve"> на своих территориях (далее - орган государственной власти субъекта Российской Федерации), включаются участки недр, расположенные на территории соответствующего субъекта Российской Федерации, на основании заявок субъектов предпринимательской деятельности, а также обращений органов государственной власти Российской Федерации, органов государственной власти субъектов Российской Федерации, органов местного</w:t>
      </w:r>
      <w:proofErr w:type="gramEnd"/>
      <w:r>
        <w:t xml:space="preserve"> самоуправления (далее - заявка (обращение) на включение участка недр в перечень участков недр местного значения).</w:t>
      </w:r>
    </w:p>
    <w:p w:rsidR="00412DFA" w:rsidRDefault="00412DFA">
      <w:pPr>
        <w:pStyle w:val="ConsPlusNormal"/>
        <w:spacing w:before="220"/>
        <w:ind w:firstLine="540"/>
        <w:jc w:val="both"/>
      </w:pPr>
      <w:r>
        <w:t>3. В случае если участок недр, предлагаемый к включению в перечень участков недр местного значения, находится на территории двух или более субъектов Российской Федерации, то в перечень участков недр местного значения он включается соответствующими субъектами Российской Федерации в пределах их территорий.</w:t>
      </w:r>
    </w:p>
    <w:p w:rsidR="00412DFA" w:rsidRDefault="00412DFA">
      <w:pPr>
        <w:pStyle w:val="ConsPlusNormal"/>
        <w:spacing w:before="220"/>
        <w:ind w:firstLine="540"/>
        <w:jc w:val="both"/>
      </w:pPr>
      <w:r>
        <w:t xml:space="preserve">4. Общий срок процедуры подготовки, рассмотрения, согласования перечней участков недр местного значения не должен превышать 125 рабочих дней </w:t>
      </w:r>
      <w:proofErr w:type="gramStart"/>
      <w:r>
        <w:t>с даты регистрации</w:t>
      </w:r>
      <w:proofErr w:type="gramEnd"/>
      <w:r>
        <w:t xml:space="preserve"> заявки </w:t>
      </w:r>
      <w:r>
        <w:lastRenderedPageBreak/>
        <w:t>(обращения) на включение участка недр в перечень участков недр местного значения.</w:t>
      </w:r>
    </w:p>
    <w:p w:rsidR="00412DFA" w:rsidRDefault="00412DFA">
      <w:pPr>
        <w:pStyle w:val="ConsPlusNormal"/>
        <w:spacing w:before="220"/>
        <w:ind w:firstLine="540"/>
        <w:jc w:val="both"/>
      </w:pPr>
      <w:bookmarkStart w:id="1" w:name="P53"/>
      <w:bookmarkEnd w:id="1"/>
      <w:r>
        <w:t>5. Для включения участка недр в перечень участков недр местного значения в орган государственной власти субъекта Российской Федерации представляется лично либо почтовым отправлением (в том числе с использованием электронной почты):</w:t>
      </w:r>
    </w:p>
    <w:p w:rsidR="00412DFA" w:rsidRDefault="00412DFA">
      <w:pPr>
        <w:pStyle w:val="ConsPlusNormal"/>
        <w:spacing w:before="220"/>
        <w:ind w:firstLine="540"/>
        <w:jc w:val="both"/>
      </w:pPr>
      <w:r>
        <w:t>1) для субъектов предпринимательской деятельности - заявка, в которой указываются:</w:t>
      </w:r>
    </w:p>
    <w:p w:rsidR="00412DFA" w:rsidRDefault="00412DFA">
      <w:pPr>
        <w:pStyle w:val="ConsPlusNormal"/>
        <w:spacing w:before="220"/>
        <w:ind w:firstLine="540"/>
        <w:jc w:val="both"/>
      </w:pPr>
      <w:proofErr w:type="gramStart"/>
      <w:r>
        <w:t>наименование и организационно-правовая форма, место нахождения юридического лица;</w:t>
      </w:r>
      <w:proofErr w:type="gramEnd"/>
    </w:p>
    <w:p w:rsidR="00412DFA" w:rsidRDefault="00412DFA">
      <w:pPr>
        <w:pStyle w:val="ConsPlusNormal"/>
        <w:spacing w:before="220"/>
        <w:ind w:firstLine="540"/>
        <w:jc w:val="both"/>
      </w:pPr>
      <w:proofErr w:type="gramStart"/>
      <w: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412DFA" w:rsidRDefault="00412DFA">
      <w:pPr>
        <w:pStyle w:val="ConsPlusNormal"/>
        <w:spacing w:before="220"/>
        <w:ind w:firstLine="540"/>
        <w:jc w:val="both"/>
      </w:pPr>
      <w:r>
        <w:t>основной государственный регистрационный номер заявителя (при наличии);</w:t>
      </w:r>
    </w:p>
    <w:p w:rsidR="00412DFA" w:rsidRDefault="00412DFA">
      <w:pPr>
        <w:pStyle w:val="ConsPlusNormal"/>
        <w:spacing w:before="220"/>
        <w:ind w:firstLine="540"/>
        <w:jc w:val="both"/>
      </w:pPr>
      <w:r>
        <w:t>идентификационный номер налогоплательщика - заявителя;</w:t>
      </w:r>
    </w:p>
    <w:p w:rsidR="00412DFA" w:rsidRDefault="00412DFA">
      <w:pPr>
        <w:pStyle w:val="ConsPlusNormal"/>
        <w:spacing w:before="220"/>
        <w:ind w:firstLine="540"/>
        <w:jc w:val="both"/>
      </w:pPr>
      <w:r>
        <w:t>адрес электронной почты;</w:t>
      </w:r>
    </w:p>
    <w:p w:rsidR="00412DFA" w:rsidRDefault="00412DFA">
      <w:pPr>
        <w:pStyle w:val="ConsPlusNormal"/>
        <w:spacing w:before="220"/>
        <w:ind w:firstLine="540"/>
        <w:jc w:val="both"/>
      </w:pPr>
      <w:r>
        <w:t>наименование участка недр, предлагаемого к включению в перечень участков недр местного значения;</w:t>
      </w:r>
    </w:p>
    <w:p w:rsidR="00412DFA" w:rsidRDefault="00412DFA">
      <w:pPr>
        <w:pStyle w:val="ConsPlusNormal"/>
        <w:spacing w:before="220"/>
        <w:ind w:firstLine="540"/>
        <w:jc w:val="both"/>
      </w:pPr>
      <w:r>
        <w:t>вид общераспространенного полезного ископаемого, содержащегося на участке недр, и целевое назначение работ на участке недр;</w:t>
      </w:r>
    </w:p>
    <w:p w:rsidR="00412DFA" w:rsidRDefault="00412DFA">
      <w:pPr>
        <w:pStyle w:val="ConsPlusNormal"/>
        <w:spacing w:before="220"/>
        <w:ind w:firstLine="540"/>
        <w:jc w:val="both"/>
      </w:pPr>
      <w:r>
        <w:t>2) для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 обращение, в котором указываются:</w:t>
      </w:r>
    </w:p>
    <w:p w:rsidR="00412DFA" w:rsidRDefault="00412DFA">
      <w:pPr>
        <w:pStyle w:val="ConsPlusNormal"/>
        <w:spacing w:before="220"/>
        <w:ind w:firstLine="540"/>
        <w:jc w:val="both"/>
      </w:pPr>
      <w:r>
        <w:t>наименование органа государственной власти Российской Федерации, органа государственной власти субъекта Российской Федерации или органа местного самоуправления;</w:t>
      </w:r>
    </w:p>
    <w:p w:rsidR="00412DFA" w:rsidRDefault="00412DFA">
      <w:pPr>
        <w:pStyle w:val="ConsPlusNormal"/>
        <w:spacing w:before="220"/>
        <w:ind w:firstLine="540"/>
        <w:jc w:val="both"/>
      </w:pPr>
      <w:r>
        <w:t>адрес электронной почты;</w:t>
      </w:r>
    </w:p>
    <w:p w:rsidR="00412DFA" w:rsidRDefault="00412DFA">
      <w:pPr>
        <w:pStyle w:val="ConsPlusNormal"/>
        <w:spacing w:before="220"/>
        <w:ind w:firstLine="540"/>
        <w:jc w:val="both"/>
      </w:pPr>
      <w:r>
        <w:t>наименование участка недр, предлагаемого к включению в перечень участков недр местного значения;</w:t>
      </w:r>
    </w:p>
    <w:p w:rsidR="00412DFA" w:rsidRDefault="00412DFA">
      <w:pPr>
        <w:pStyle w:val="ConsPlusNormal"/>
        <w:spacing w:before="220"/>
        <w:ind w:firstLine="540"/>
        <w:jc w:val="both"/>
      </w:pPr>
      <w:r>
        <w:t>вид общераспространенного полезного ископаемого, содержащегося на участке недр, и целевое назначение работ на участке недр.</w:t>
      </w:r>
    </w:p>
    <w:p w:rsidR="00412DFA" w:rsidRDefault="00412DFA">
      <w:pPr>
        <w:pStyle w:val="ConsPlusNormal"/>
        <w:spacing w:before="220"/>
        <w:ind w:firstLine="540"/>
        <w:jc w:val="both"/>
      </w:pPr>
      <w:bookmarkStart w:id="2" w:name="P67"/>
      <w:bookmarkEnd w:id="2"/>
      <w:r>
        <w:t>6. К заявке (обращению) на включение участка недр в перечень участков недр местного значения прилагаются следующие документы и сведения:</w:t>
      </w:r>
    </w:p>
    <w:p w:rsidR="00412DFA" w:rsidRDefault="00412DFA">
      <w:pPr>
        <w:pStyle w:val="ConsPlusNormal"/>
        <w:spacing w:before="220"/>
        <w:ind w:firstLine="540"/>
        <w:jc w:val="both"/>
      </w:pPr>
      <w:bookmarkStart w:id="3" w:name="P68"/>
      <w:bookmarkEnd w:id="3"/>
      <w:r>
        <w:t>1) топографическая карта с отображением границ участка недр, предлагаемого к включению в перечень участков недр местного значения (с указанием географических координат угловых точек и площади участка), границ месторождений и проявлений полезных ископаемых;</w:t>
      </w:r>
    </w:p>
    <w:p w:rsidR="00412DFA" w:rsidRDefault="00412DFA">
      <w:pPr>
        <w:pStyle w:val="ConsPlusNormal"/>
        <w:spacing w:before="220"/>
        <w:ind w:firstLine="540"/>
        <w:jc w:val="both"/>
      </w:pPr>
      <w:r>
        <w:t xml:space="preserve">2) пояснительная записка к топографической карте, содержащая описание и геологическое обоснование указанных границ участка недр в соответствии с </w:t>
      </w:r>
      <w:hyperlink r:id="rId12" w:history="1">
        <w:r>
          <w:rPr>
            <w:color w:val="0000FF"/>
          </w:rPr>
          <w:t>Положением</w:t>
        </w:r>
      </w:hyperlink>
      <w:r>
        <w:t xml:space="preserve"> об установлении и изменении границ участков недр, предоставленных в пользование, утвержденным постановлением Правительства Российской Федерации от 3 мая 2012 г. N 429 (Собрание законодательства Российской Федерации, 2012, N 19, ст. 2445; </w:t>
      </w:r>
      <w:proofErr w:type="gramStart"/>
      <w:r>
        <w:t>2017, N 22, ст. 3153);</w:t>
      </w:r>
      <w:proofErr w:type="gramEnd"/>
    </w:p>
    <w:p w:rsidR="00412DFA" w:rsidRDefault="00412DFA">
      <w:pPr>
        <w:pStyle w:val="ConsPlusNormal"/>
        <w:spacing w:before="220"/>
        <w:ind w:firstLine="540"/>
        <w:jc w:val="both"/>
      </w:pPr>
      <w:bookmarkStart w:id="4" w:name="P70"/>
      <w:bookmarkEnd w:id="4"/>
      <w:r>
        <w:t>3) сведения об участке недр, отражающие:</w:t>
      </w:r>
    </w:p>
    <w:p w:rsidR="00412DFA" w:rsidRDefault="00412DFA">
      <w:pPr>
        <w:pStyle w:val="ConsPlusNormal"/>
        <w:spacing w:before="220"/>
        <w:ind w:firstLine="540"/>
        <w:jc w:val="both"/>
      </w:pPr>
      <w:r>
        <w:t>местоположение участка недр;</w:t>
      </w:r>
    </w:p>
    <w:p w:rsidR="00412DFA" w:rsidRDefault="00412DFA">
      <w:pPr>
        <w:pStyle w:val="ConsPlusNormal"/>
        <w:spacing w:before="220"/>
        <w:ind w:firstLine="540"/>
        <w:jc w:val="both"/>
      </w:pPr>
      <w:r>
        <w:lastRenderedPageBreak/>
        <w:t>наименование и степень изученности месторождений и (или) проявлений полезных ископаемых, количество и категории запасов и прогнозных ресурсов полезных ископаемых;</w:t>
      </w:r>
    </w:p>
    <w:p w:rsidR="00412DFA" w:rsidRDefault="00412DFA">
      <w:pPr>
        <w:pStyle w:val="ConsPlusNormal"/>
        <w:spacing w:before="220"/>
        <w:ind w:firstLine="540"/>
        <w:jc w:val="both"/>
      </w:pPr>
      <w:r>
        <w:t>наличие других пользователей недр на данном участке недр.</w:t>
      </w:r>
    </w:p>
    <w:p w:rsidR="00412DFA" w:rsidRDefault="00412DFA">
      <w:pPr>
        <w:pStyle w:val="ConsPlusNormal"/>
        <w:spacing w:before="220"/>
        <w:ind w:firstLine="540"/>
        <w:jc w:val="both"/>
      </w:pPr>
      <w:proofErr w:type="gramStart"/>
      <w:r>
        <w:t>Заявитель вправе приложить к заявке (обращению) на включение участка недр в перечень участков недр местного значения согласие пользователя недр, в границах которого расположен предлагаемый к включению в перечень участков недр местного значения участок недр (в случае, если предлагаемый к включению в перечень участков недр местного значения участок недр расположен в границах участка недр, предоставленного в пользование).</w:t>
      </w:r>
      <w:proofErr w:type="gramEnd"/>
    </w:p>
    <w:p w:rsidR="00412DFA" w:rsidRDefault="00412DFA">
      <w:pPr>
        <w:pStyle w:val="ConsPlusNormal"/>
        <w:spacing w:before="220"/>
        <w:ind w:firstLine="540"/>
        <w:jc w:val="both"/>
      </w:pPr>
      <w:proofErr w:type="gramStart"/>
      <w:r>
        <w:t xml:space="preserve">Подготовка документов и сведений, указанных в </w:t>
      </w:r>
      <w:hyperlink w:anchor="P68" w:history="1">
        <w:r>
          <w:rPr>
            <w:color w:val="0000FF"/>
          </w:rPr>
          <w:t>подпунктах 1</w:t>
        </w:r>
      </w:hyperlink>
      <w:r>
        <w:t xml:space="preserve"> - </w:t>
      </w:r>
      <w:hyperlink w:anchor="P70" w:history="1">
        <w:r>
          <w:rPr>
            <w:color w:val="0000FF"/>
          </w:rPr>
          <w:t>3</w:t>
        </w:r>
      </w:hyperlink>
      <w:r>
        <w:t xml:space="preserve"> настоящего пункта, осуществляется с использованием геологической информации о недрах в соответствии с </w:t>
      </w:r>
      <w:hyperlink r:id="rId13" w:history="1">
        <w:r>
          <w:rPr>
            <w:color w:val="0000FF"/>
          </w:rPr>
          <w:t>Правилами</w:t>
        </w:r>
      </w:hyperlink>
      <w:r>
        <w:t xml:space="preserve"> использования геологической информации о недрах, обладателем которой является Российская Федерация, утвержденными постановлением Правительства Российской Федерации от 2 июня 2016 г. N 492 (Собрание законодательства Российской Федерации, 2016, N 24, ст. 3531) (в отношении геологической информации о недрах, обладателем</w:t>
      </w:r>
      <w:proofErr w:type="gramEnd"/>
      <w:r>
        <w:t xml:space="preserve"> которой является Российская Федерация), и законами и иными нормативными правовыми актами субъектов Российской Федерации в соответствии с </w:t>
      </w:r>
      <w:hyperlink r:id="rId14" w:history="1">
        <w:r>
          <w:rPr>
            <w:color w:val="0000FF"/>
          </w:rPr>
          <w:t>частью семнадцатой статьи 27</w:t>
        </w:r>
      </w:hyperlink>
      <w:r>
        <w:t xml:space="preserve"> Закона Российской Федерации "О недрах" (в отношении геологической информации о недрах, обладателем которой является субъект Российской Федерации).</w:t>
      </w:r>
    </w:p>
    <w:p w:rsidR="00412DFA" w:rsidRDefault="00412DFA">
      <w:pPr>
        <w:pStyle w:val="ConsPlusNormal"/>
        <w:spacing w:before="220"/>
        <w:ind w:firstLine="540"/>
        <w:jc w:val="both"/>
      </w:pPr>
      <w:r>
        <w:t>7. Поступившая заявка (обращение) на включение участка недр в перечень участков недр местного значения регистрируется органом государственной власти субъекта Российской Федерации в день ее поступления. При регистрации заявки (обращения) указывается входящий номер, дата и местное время (часы и минуты) поступления заявки (обращения).</w:t>
      </w:r>
    </w:p>
    <w:p w:rsidR="00412DFA" w:rsidRDefault="00412DFA">
      <w:pPr>
        <w:pStyle w:val="ConsPlusNormal"/>
        <w:spacing w:before="220"/>
        <w:ind w:firstLine="540"/>
        <w:jc w:val="both"/>
      </w:pPr>
      <w:r>
        <w:t>8. Орган государственной власти субъекта Российской Федерации проверяет заявку (обращение) на включение участка недр в перечень участков недр местного значения и прилагаемые документы на предмет соответствия установленным Порядком требованиям в срок, не превышающий 15 рабочих дней со дня регистрации заявки (обращения).</w:t>
      </w:r>
    </w:p>
    <w:p w:rsidR="00412DFA" w:rsidRDefault="00412DFA">
      <w:pPr>
        <w:pStyle w:val="ConsPlusNormal"/>
        <w:spacing w:before="220"/>
        <w:ind w:firstLine="540"/>
        <w:jc w:val="both"/>
      </w:pPr>
      <w:proofErr w:type="gramStart"/>
      <w:r>
        <w:t xml:space="preserve">В случае если заявка (обращение) на включение участка недр в перечень участков недр местного значения и прилагаемые к ней документы не соответствуют требованиям </w:t>
      </w:r>
      <w:hyperlink w:anchor="P53" w:history="1">
        <w:r>
          <w:rPr>
            <w:color w:val="0000FF"/>
          </w:rPr>
          <w:t>пункта 5</w:t>
        </w:r>
      </w:hyperlink>
      <w:r>
        <w:t xml:space="preserve">, </w:t>
      </w:r>
      <w:hyperlink w:anchor="P68" w:history="1">
        <w:r>
          <w:rPr>
            <w:color w:val="0000FF"/>
          </w:rPr>
          <w:t>подпунктов 1</w:t>
        </w:r>
      </w:hyperlink>
      <w:r>
        <w:t xml:space="preserve"> - </w:t>
      </w:r>
      <w:hyperlink w:anchor="P70" w:history="1">
        <w:r>
          <w:rPr>
            <w:color w:val="0000FF"/>
          </w:rPr>
          <w:t>3 пункта 6</w:t>
        </w:r>
      </w:hyperlink>
      <w:r>
        <w:t xml:space="preserve"> Порядка, или на рассмотрении находится заявка (обращение) на включение в перечень участков недр местного значения участка недр, границы которого полностью или частично совпадают с границами участка недр, предлагаемого к включению</w:t>
      </w:r>
      <w:proofErr w:type="gramEnd"/>
      <w:r>
        <w:t xml:space="preserve"> в перечень участков недр местного значения, представленная заявка (обращение) и прилагаемые к ней документы возвращаются заявителю в срок, не превышающий 5 рабочих дней </w:t>
      </w:r>
      <w:proofErr w:type="gramStart"/>
      <w:r>
        <w:t>с даты регистрации</w:t>
      </w:r>
      <w:proofErr w:type="gramEnd"/>
      <w:r>
        <w:t xml:space="preserve"> заявки (обращения), с указанием причин возврата.</w:t>
      </w:r>
    </w:p>
    <w:p w:rsidR="00412DFA" w:rsidRDefault="00412DFA">
      <w:pPr>
        <w:pStyle w:val="ConsPlusNormal"/>
        <w:spacing w:before="220"/>
        <w:ind w:firstLine="540"/>
        <w:jc w:val="both"/>
      </w:pPr>
      <w:bookmarkStart w:id="5" w:name="P79"/>
      <w:bookmarkEnd w:id="5"/>
      <w:r>
        <w:t xml:space="preserve">9. </w:t>
      </w:r>
      <w:proofErr w:type="gramStart"/>
      <w:r>
        <w:t xml:space="preserve">В случае если заявка (обращение) на включение участка недр в перечень участков недр местного значения соответствует требованиям </w:t>
      </w:r>
      <w:hyperlink w:anchor="P53" w:history="1">
        <w:r>
          <w:rPr>
            <w:color w:val="0000FF"/>
          </w:rPr>
          <w:t>пункта 5</w:t>
        </w:r>
      </w:hyperlink>
      <w:r>
        <w:t xml:space="preserve">, </w:t>
      </w:r>
      <w:hyperlink w:anchor="P68" w:history="1">
        <w:r>
          <w:rPr>
            <w:color w:val="0000FF"/>
          </w:rPr>
          <w:t>подпунктов 1</w:t>
        </w:r>
      </w:hyperlink>
      <w:r>
        <w:t xml:space="preserve"> - </w:t>
      </w:r>
      <w:hyperlink w:anchor="P70" w:history="1">
        <w:r>
          <w:rPr>
            <w:color w:val="0000FF"/>
          </w:rPr>
          <w:t>3 пункта 6</w:t>
        </w:r>
      </w:hyperlink>
      <w:r>
        <w:t xml:space="preserve"> Порядка, орган государственной власти субъекта Российской Федерации в срок, не превышающий 15 рабочих дней со дня регистрации заявки (обращения), направляет запросы, содержащие информацию о местоположении и границах участка недр (карту-схему участка недр с приложением географических координат</w:t>
      </w:r>
      <w:proofErr w:type="gramEnd"/>
      <w:r>
        <w:t xml:space="preserve"> угловых точек), находящегося в нераспределенном фонде и предлагаемого к включению в проект перечня участков недр местного значения, на рассмотрение:</w:t>
      </w:r>
    </w:p>
    <w:p w:rsidR="00412DFA" w:rsidRDefault="00412DFA">
      <w:pPr>
        <w:pStyle w:val="ConsPlusNormal"/>
        <w:spacing w:before="220"/>
        <w:ind w:firstLine="540"/>
        <w:jc w:val="both"/>
      </w:pPr>
      <w:bookmarkStart w:id="6" w:name="P80"/>
      <w:bookmarkEnd w:id="6"/>
      <w:proofErr w:type="gramStart"/>
      <w:r>
        <w:t xml:space="preserve">1) в Министерство обороны Российской Федерации и Федеральную службу безопасности Российской Федерации (территориальный орган Федеральной службы безопасности Российской Федерации) - в отношении наличия или отсутствия земельных участков из состава земель обороны, безопасности, а также запретов и (или) ограничений, установленных в соответствии со </w:t>
      </w:r>
      <w:hyperlink r:id="rId15" w:history="1">
        <w:r>
          <w:rPr>
            <w:color w:val="0000FF"/>
          </w:rPr>
          <w:t>статьей 8</w:t>
        </w:r>
      </w:hyperlink>
      <w:r>
        <w:t xml:space="preserve"> Закона Российской Федерации "О недрах", в границах участка недр, предлагаемого к </w:t>
      </w:r>
      <w:r>
        <w:lastRenderedPageBreak/>
        <w:t>включению в перечень участков недр местного</w:t>
      </w:r>
      <w:proofErr w:type="gramEnd"/>
      <w:r>
        <w:t xml:space="preserve"> значения;</w:t>
      </w:r>
    </w:p>
    <w:p w:rsidR="00412DFA" w:rsidRDefault="00412DFA">
      <w:pPr>
        <w:pStyle w:val="ConsPlusNormal"/>
        <w:spacing w:before="220"/>
        <w:ind w:firstLine="540"/>
        <w:jc w:val="both"/>
      </w:pPr>
      <w:r>
        <w:t xml:space="preserve">2)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а также запретов и (или) ограничений, установленных в соответствии со </w:t>
      </w:r>
      <w:hyperlink r:id="rId16" w:history="1">
        <w:r>
          <w:rPr>
            <w:color w:val="0000FF"/>
          </w:rPr>
          <w:t>статьей 8</w:t>
        </w:r>
      </w:hyperlink>
      <w:r>
        <w:t xml:space="preserve"> Закона Российской Федерации "О недрах", в границах участка недр, предлагаемого к включению в перечень участков недр местного значения;</w:t>
      </w:r>
    </w:p>
    <w:p w:rsidR="00412DFA" w:rsidRDefault="00412DFA">
      <w:pPr>
        <w:pStyle w:val="ConsPlusNormal"/>
        <w:spacing w:before="220"/>
        <w:ind w:firstLine="540"/>
        <w:jc w:val="both"/>
      </w:pPr>
      <w:bookmarkStart w:id="7" w:name="P82"/>
      <w:bookmarkEnd w:id="7"/>
      <w:proofErr w:type="gramStart"/>
      <w:r>
        <w:t xml:space="preserve">3) в уполномоченные органы государственной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в границах участка недр, предлагаемого к включению в перечень участков недр местного значения, а также запретов и (или) ограничений, установленных в соответствии со </w:t>
      </w:r>
      <w:hyperlink r:id="rId17" w:history="1">
        <w:r>
          <w:rPr>
            <w:color w:val="0000FF"/>
          </w:rPr>
          <w:t>статьей 8</w:t>
        </w:r>
      </w:hyperlink>
      <w:r>
        <w:t xml:space="preserve"> Закона Российской Федерации "О недрах", в границах участка недр, предлагаемого к включению в</w:t>
      </w:r>
      <w:proofErr w:type="gramEnd"/>
      <w:r>
        <w:t xml:space="preserve"> перечень участков недр местного значения;</w:t>
      </w:r>
    </w:p>
    <w:p w:rsidR="00412DFA" w:rsidRDefault="00412DFA">
      <w:pPr>
        <w:pStyle w:val="ConsPlusNormal"/>
        <w:spacing w:before="220"/>
        <w:ind w:firstLine="540"/>
        <w:jc w:val="both"/>
      </w:pPr>
      <w:bookmarkStart w:id="8" w:name="P83"/>
      <w:bookmarkEnd w:id="8"/>
      <w:r>
        <w:t>4) пользователю недр - в отношении представления согласия на включение участка недр в перечень участков недр местного значения (в случае если участок недр, предлагаемый к включению в проект перечня участков недр местного значения, расположен в границах участка недр, предоставленного в пользование, и заявителем не представлено согласие такого пользователя недр).</w:t>
      </w:r>
    </w:p>
    <w:p w:rsidR="00412DFA" w:rsidRDefault="00412DFA">
      <w:pPr>
        <w:pStyle w:val="ConsPlusNormal"/>
        <w:spacing w:before="220"/>
        <w:ind w:firstLine="540"/>
        <w:jc w:val="both"/>
      </w:pPr>
      <w:r>
        <w:t xml:space="preserve">Органы государственной власти Российской Федерации, указанные в </w:t>
      </w:r>
      <w:hyperlink w:anchor="P80" w:history="1">
        <w:r>
          <w:rPr>
            <w:color w:val="0000FF"/>
          </w:rPr>
          <w:t>подпунктах 1</w:t>
        </w:r>
      </w:hyperlink>
      <w:r>
        <w:t xml:space="preserve"> - </w:t>
      </w:r>
      <w:hyperlink w:anchor="P82" w:history="1">
        <w:r>
          <w:rPr>
            <w:color w:val="0000FF"/>
          </w:rPr>
          <w:t>3</w:t>
        </w:r>
      </w:hyperlink>
      <w:r>
        <w:t xml:space="preserve"> настоящего пункта, рассматривают поступившую информацию об участке недр, предлагаемом к включению в перечень участков недр местного значения, в течение 30 рабочих дней со дня ее поступления. Результаты такого рассмотрения оформляются письмом в адрес соответствующего органа государственной власти субъекта Российской Федерации путем почтового отправления. Согласие пользователя недр на включение участка недр в перечень участков недр местного значения (отказ в предоставлении согласия) оформляется письмом в адрес соответствующего органа государственной власти субъекта Российской Федерации путем почтового отправления.</w:t>
      </w:r>
    </w:p>
    <w:p w:rsidR="00412DFA" w:rsidRDefault="00412DFA">
      <w:pPr>
        <w:pStyle w:val="ConsPlusNormal"/>
        <w:spacing w:before="220"/>
        <w:ind w:firstLine="540"/>
        <w:jc w:val="both"/>
      </w:pPr>
      <w:bookmarkStart w:id="9" w:name="P85"/>
      <w:bookmarkEnd w:id="9"/>
      <w:r>
        <w:t>10. Основаниями для отказа во включении участка недр в перечень участков недр местного значения являются:</w:t>
      </w:r>
    </w:p>
    <w:p w:rsidR="00412DFA" w:rsidRDefault="00412DFA">
      <w:pPr>
        <w:pStyle w:val="ConsPlusNormal"/>
        <w:spacing w:before="220"/>
        <w:ind w:firstLine="540"/>
        <w:jc w:val="both"/>
      </w:pPr>
      <w:proofErr w:type="gramStart"/>
      <w:r>
        <w:t>1) получение информации о наличии земельных участков из состава земель обороны, безопасности в границах участка недр, предлагаемого к включению в перечень участков недр местного значения;</w:t>
      </w:r>
      <w:proofErr w:type="gramEnd"/>
    </w:p>
    <w:p w:rsidR="00412DFA" w:rsidRDefault="00412DFA">
      <w:pPr>
        <w:pStyle w:val="ConsPlusNormal"/>
        <w:spacing w:before="220"/>
        <w:ind w:firstLine="540"/>
        <w:jc w:val="both"/>
      </w:pPr>
      <w:r>
        <w:t xml:space="preserve">2) запрет и (или) ограничение пользования недрами в границах участка недр, предлагаемого к включению в перечень участков недр местного значения, в соответствии со </w:t>
      </w:r>
      <w:hyperlink r:id="rId18" w:history="1">
        <w:r>
          <w:rPr>
            <w:color w:val="0000FF"/>
          </w:rPr>
          <w:t>статьей 8</w:t>
        </w:r>
      </w:hyperlink>
      <w:r>
        <w:t xml:space="preserve"> Закона Российской Федерации "О недрах";</w:t>
      </w:r>
    </w:p>
    <w:p w:rsidR="00412DFA" w:rsidRDefault="00412DFA">
      <w:pPr>
        <w:pStyle w:val="ConsPlusNormal"/>
        <w:spacing w:before="220"/>
        <w:ind w:firstLine="540"/>
        <w:jc w:val="both"/>
      </w:pPr>
      <w:r>
        <w:t xml:space="preserve">3) предлагаемый к включению в перечень участков недр местного значения участок недр не относится к участкам недр местного значения, предусмотренным </w:t>
      </w:r>
      <w:hyperlink r:id="rId19" w:history="1">
        <w:r>
          <w:rPr>
            <w:color w:val="0000FF"/>
          </w:rPr>
          <w:t>пунктом 1 части первой статьи 2.3</w:t>
        </w:r>
      </w:hyperlink>
      <w:r>
        <w:t xml:space="preserve"> Закона Российской Федерации "О недрах";</w:t>
      </w:r>
    </w:p>
    <w:p w:rsidR="00412DFA" w:rsidRDefault="00412DFA">
      <w:pPr>
        <w:pStyle w:val="ConsPlusNormal"/>
        <w:spacing w:before="220"/>
        <w:ind w:firstLine="540"/>
        <w:jc w:val="both"/>
      </w:pPr>
      <w:r>
        <w:t>4) отказ пользователя недр в предоставлении согласия на включение участка недр в перечень участков недр местного значения (в случае, если участок недр, предлагаемый к включению в проект перечня участков недр местного значения, расположен в границах участка недр, предоставленного в пользование).</w:t>
      </w:r>
    </w:p>
    <w:p w:rsidR="00412DFA" w:rsidRDefault="00412DFA">
      <w:pPr>
        <w:pStyle w:val="ConsPlusNormal"/>
        <w:spacing w:before="220"/>
        <w:ind w:firstLine="540"/>
        <w:jc w:val="both"/>
      </w:pPr>
      <w:r>
        <w:t xml:space="preserve">11. </w:t>
      </w:r>
      <w:proofErr w:type="gramStart"/>
      <w:r>
        <w:t xml:space="preserve">В срок, не превышающий 20 рабочих дней с даты поступления в орган государственной власти субъекта Российской Федерации всех документов и сведений, предусмотренных </w:t>
      </w:r>
      <w:hyperlink w:anchor="P53" w:history="1">
        <w:r>
          <w:rPr>
            <w:color w:val="0000FF"/>
          </w:rPr>
          <w:t>пунктами 5</w:t>
        </w:r>
      </w:hyperlink>
      <w:r>
        <w:t xml:space="preserve">, </w:t>
      </w:r>
      <w:hyperlink w:anchor="P67" w:history="1">
        <w:r>
          <w:rPr>
            <w:color w:val="0000FF"/>
          </w:rPr>
          <w:t>6</w:t>
        </w:r>
      </w:hyperlink>
      <w:r>
        <w:t xml:space="preserve"> и </w:t>
      </w:r>
      <w:hyperlink w:anchor="P79" w:history="1">
        <w:r>
          <w:rPr>
            <w:color w:val="0000FF"/>
          </w:rPr>
          <w:t>9</w:t>
        </w:r>
      </w:hyperlink>
      <w:r>
        <w:t xml:space="preserve"> Порядка, орган государственной власти субъекта Российской Федерации рассматривает заявку (обращение) на включение участка недр в перечень участков недр местного значения и прилагаемые к ней документы и сведения.</w:t>
      </w:r>
      <w:proofErr w:type="gramEnd"/>
    </w:p>
    <w:p w:rsidR="00412DFA" w:rsidRDefault="00412DFA">
      <w:pPr>
        <w:pStyle w:val="ConsPlusNormal"/>
        <w:spacing w:before="220"/>
        <w:ind w:firstLine="540"/>
        <w:jc w:val="both"/>
      </w:pPr>
      <w:r>
        <w:lastRenderedPageBreak/>
        <w:t xml:space="preserve">По результатам рассмотрения заявки (обращения) на включение участка недр в перечень участков недр местного значения, а также с учетом информации, поступившей от органов государственной власти Российской Федерации и пользователей недр, указанных в </w:t>
      </w:r>
      <w:hyperlink w:anchor="P80" w:history="1">
        <w:r>
          <w:rPr>
            <w:color w:val="0000FF"/>
          </w:rPr>
          <w:t>подпунктах 1</w:t>
        </w:r>
      </w:hyperlink>
      <w:r>
        <w:t xml:space="preserve"> - </w:t>
      </w:r>
      <w:hyperlink w:anchor="P83" w:history="1">
        <w:r>
          <w:rPr>
            <w:color w:val="0000FF"/>
          </w:rPr>
          <w:t>4 пункта 9</w:t>
        </w:r>
      </w:hyperlink>
      <w:r>
        <w:t xml:space="preserve"> Порядка, орган государственной власти субъекта Российской Федерации принимает решение:</w:t>
      </w:r>
    </w:p>
    <w:p w:rsidR="00412DFA" w:rsidRDefault="00412DFA">
      <w:pPr>
        <w:pStyle w:val="ConsPlusNormal"/>
        <w:spacing w:before="220"/>
        <w:ind w:firstLine="540"/>
        <w:jc w:val="both"/>
      </w:pPr>
      <w:r>
        <w:t>о включении участка недр в проект перечня участков недр местного значения;</w:t>
      </w:r>
    </w:p>
    <w:p w:rsidR="00412DFA" w:rsidRDefault="00412DFA">
      <w:pPr>
        <w:pStyle w:val="ConsPlusNormal"/>
        <w:spacing w:before="220"/>
        <w:ind w:firstLine="540"/>
        <w:jc w:val="both"/>
      </w:pPr>
      <w:r>
        <w:t>об отказе во включении участка недр в проект перечня участков недр местного значения.</w:t>
      </w:r>
    </w:p>
    <w:p w:rsidR="00412DFA" w:rsidRDefault="00412DFA">
      <w:pPr>
        <w:pStyle w:val="ConsPlusNormal"/>
        <w:spacing w:before="220"/>
        <w:ind w:firstLine="540"/>
        <w:jc w:val="both"/>
      </w:pPr>
      <w:proofErr w:type="gramStart"/>
      <w:r>
        <w:t>Не позднее 5 рабочих дней с даты принятия решения об отказе во включении участка недр в проект перечня участков недр местного значения лицу, направлявшему заявку (обращение) о включении участка недр в перечень участков недр местного значения, направляется посредством использования электронной почты, указанной в заявке (обращении) на включение участка недр в перечень участков недр местного значения, уведомление с указанием причин отказа</w:t>
      </w:r>
      <w:proofErr w:type="gramEnd"/>
      <w:r>
        <w:t xml:space="preserve">, </w:t>
      </w:r>
      <w:proofErr w:type="gramStart"/>
      <w:r>
        <w:t>предусмотренных</w:t>
      </w:r>
      <w:proofErr w:type="gramEnd"/>
      <w:r>
        <w:t xml:space="preserve"> </w:t>
      </w:r>
      <w:hyperlink w:anchor="P85" w:history="1">
        <w:r>
          <w:rPr>
            <w:color w:val="0000FF"/>
          </w:rPr>
          <w:t>пунктом 10</w:t>
        </w:r>
      </w:hyperlink>
      <w:r>
        <w:t xml:space="preserve"> Порядка. Заявитель вправе дополнительно получить уведомление на бумажном носителе на основании соответствующего заявления.</w:t>
      </w:r>
    </w:p>
    <w:p w:rsidR="00412DFA" w:rsidRDefault="00412DFA">
      <w:pPr>
        <w:pStyle w:val="ConsPlusNormal"/>
        <w:spacing w:before="220"/>
        <w:ind w:firstLine="540"/>
        <w:jc w:val="both"/>
      </w:pPr>
      <w:r>
        <w:t>12. Проект перечня участков недр местного значения в отношении каждого из содержащихся в нем участков недр местного значения включает:</w:t>
      </w:r>
    </w:p>
    <w:p w:rsidR="00412DFA" w:rsidRDefault="00412DFA">
      <w:pPr>
        <w:pStyle w:val="ConsPlusNormal"/>
        <w:spacing w:before="220"/>
        <w:ind w:firstLine="540"/>
        <w:jc w:val="both"/>
      </w:pPr>
      <w:r>
        <w:t>1) сведения о наименовании участка недр, местоположении, географических координатах угловых точек границ участка недр и его площади;</w:t>
      </w:r>
    </w:p>
    <w:p w:rsidR="00412DFA" w:rsidRDefault="00412DFA">
      <w:pPr>
        <w:pStyle w:val="ConsPlusNormal"/>
        <w:spacing w:before="220"/>
        <w:ind w:firstLine="540"/>
        <w:jc w:val="both"/>
      </w:pPr>
      <w:r>
        <w:t>2) сведения о виде общераспространенного полезного ископаемого, в отношении которого будет осуществляться геологическое изучение и (или) разведка и добыча полезных ископаемых;</w:t>
      </w:r>
    </w:p>
    <w:p w:rsidR="00412DFA" w:rsidRDefault="00412DFA">
      <w:pPr>
        <w:pStyle w:val="ConsPlusNormal"/>
        <w:spacing w:before="220"/>
        <w:ind w:firstLine="540"/>
        <w:jc w:val="both"/>
      </w:pPr>
      <w:r>
        <w:t>3) сведения о прогнозных ресурсах и (или) запасах общераспространенного полезного ископаемого, содержащегося в границах участка недр;</w:t>
      </w:r>
    </w:p>
    <w:p w:rsidR="00412DFA" w:rsidRDefault="00412DFA">
      <w:pPr>
        <w:pStyle w:val="ConsPlusNormal"/>
        <w:spacing w:before="220"/>
        <w:ind w:firstLine="540"/>
        <w:jc w:val="both"/>
      </w:pPr>
      <w:r>
        <w:t>4) сведения о месторождениях и (или) проявлениях общераспространенных полезных ископаемых, расположенных в границах участка недр;</w:t>
      </w:r>
    </w:p>
    <w:p w:rsidR="00412DFA" w:rsidRDefault="00412DFA">
      <w:pPr>
        <w:pStyle w:val="ConsPlusNormal"/>
        <w:spacing w:before="220"/>
        <w:ind w:firstLine="540"/>
        <w:jc w:val="both"/>
      </w:pPr>
      <w:r>
        <w:t>5) реквизиты протокола государственной экспертизы запасов полезных ископаемых (при наличии);</w:t>
      </w:r>
    </w:p>
    <w:p w:rsidR="00412DFA" w:rsidRDefault="00412DFA">
      <w:pPr>
        <w:pStyle w:val="ConsPlusNormal"/>
        <w:spacing w:before="220"/>
        <w:ind w:firstLine="540"/>
        <w:jc w:val="both"/>
      </w:pPr>
      <w:r>
        <w:t>6) сведения об отнесении участка недр к распределенному или нераспределенному фонду недр (в случае, если участок недр, предлагаемый для предоставления в пользование, находится в нераспределенном фонде недр, также указывается информация о том, что участок недр планируется или не планируется к лицензированию);</w:t>
      </w:r>
    </w:p>
    <w:p w:rsidR="00412DFA" w:rsidRDefault="00412DFA">
      <w:pPr>
        <w:pStyle w:val="ConsPlusNormal"/>
        <w:spacing w:before="220"/>
        <w:ind w:firstLine="540"/>
        <w:jc w:val="both"/>
      </w:pPr>
      <w:r>
        <w:t>7) реквизиты лицензии на пользование участком недр, относящимся к участкам недр местного значения (в случае, если включаемый в проект перечня участок недр местного значения предоставлен в пользование);</w:t>
      </w:r>
    </w:p>
    <w:p w:rsidR="00412DFA" w:rsidRDefault="00412DFA">
      <w:pPr>
        <w:pStyle w:val="ConsPlusNormal"/>
        <w:spacing w:before="220"/>
        <w:ind w:firstLine="540"/>
        <w:jc w:val="both"/>
      </w:pPr>
      <w:r>
        <w:t>8) реквизиты лицензии на пользование участком недр, не относящимся к участку недр местного значения (в случае, если участок недр, предлагаемый к включению в перечень участков недр местного значения, находится в границах предоставленного в пользование участка недр, не относящегося к участкам недр местного значения);</w:t>
      </w:r>
    </w:p>
    <w:p w:rsidR="00412DFA" w:rsidRDefault="00412DFA">
      <w:pPr>
        <w:pStyle w:val="ConsPlusNormal"/>
        <w:spacing w:before="220"/>
        <w:ind w:firstLine="540"/>
        <w:jc w:val="both"/>
      </w:pPr>
      <w:r>
        <w:t xml:space="preserve">9) информацию о наличии ограничений пользования недрами, установленных в соответствии со </w:t>
      </w:r>
      <w:hyperlink r:id="rId20" w:history="1">
        <w:r>
          <w:rPr>
            <w:color w:val="0000FF"/>
          </w:rPr>
          <w:t>статьей 8</w:t>
        </w:r>
      </w:hyperlink>
      <w:r>
        <w:t xml:space="preserve"> Закона Российской Федерации "О недрах".</w:t>
      </w:r>
    </w:p>
    <w:p w:rsidR="00412DFA" w:rsidRDefault="00412DFA">
      <w:pPr>
        <w:pStyle w:val="ConsPlusNormal"/>
        <w:spacing w:before="220"/>
        <w:ind w:firstLine="540"/>
        <w:jc w:val="both"/>
      </w:pPr>
      <w:r>
        <w:t xml:space="preserve">13. </w:t>
      </w:r>
      <w:proofErr w:type="gramStart"/>
      <w:r>
        <w:t xml:space="preserve">Границы участков недр местного значения устанавливаются в проекте перечня участков недр местного значения в соответствии с </w:t>
      </w:r>
      <w:hyperlink r:id="rId21" w:history="1">
        <w:r>
          <w:rPr>
            <w:color w:val="0000FF"/>
          </w:rPr>
          <w:t>Положением</w:t>
        </w:r>
      </w:hyperlink>
      <w:r>
        <w:t xml:space="preserve"> об установлении и изменении границ участков недр, предоставленных в пользование, утвержденным постановлением Правительства </w:t>
      </w:r>
      <w:r>
        <w:lastRenderedPageBreak/>
        <w:t>Российской Федерации от 3 мая 2012 г. N 429 (Собрание законодательства Российской Федерации, 2012, N 19, ст. 2445; 2017, N 22, ст. 3153).</w:t>
      </w:r>
      <w:proofErr w:type="gramEnd"/>
    </w:p>
    <w:p w:rsidR="00412DFA" w:rsidRDefault="00412DFA">
      <w:pPr>
        <w:pStyle w:val="ConsPlusNormal"/>
        <w:spacing w:before="220"/>
        <w:ind w:firstLine="540"/>
        <w:jc w:val="both"/>
      </w:pPr>
      <w:r>
        <w:t xml:space="preserve">14. Не позднее 20 рабочих дней </w:t>
      </w:r>
      <w:proofErr w:type="gramStart"/>
      <w:r>
        <w:t>с даты принятия</w:t>
      </w:r>
      <w:proofErr w:type="gramEnd"/>
      <w:r>
        <w:t xml:space="preserve"> решения о включении участка недр в проект перечня участков недр местного значения орган государственной власти субъекта Российской Федерации формирует проект перечня участков недр местного значения или дополнение к ранее утвержденному перечню участков недр местного значения (рекомендуемый образец приведен в </w:t>
      </w:r>
      <w:hyperlink w:anchor="P141" w:history="1">
        <w:r>
          <w:rPr>
            <w:color w:val="0000FF"/>
          </w:rPr>
          <w:t>приложении</w:t>
        </w:r>
      </w:hyperlink>
      <w:r>
        <w:t xml:space="preserve"> к Порядку).</w:t>
      </w:r>
    </w:p>
    <w:p w:rsidR="00412DFA" w:rsidRDefault="00412DFA">
      <w:pPr>
        <w:pStyle w:val="ConsPlusNormal"/>
        <w:spacing w:before="220"/>
        <w:ind w:firstLine="540"/>
        <w:jc w:val="both"/>
      </w:pPr>
      <w:proofErr w:type="gramStart"/>
      <w:r>
        <w:t xml:space="preserve">Для согласования подготовленного проекта перечня участков недр местного значения орган государственной власти субъекта Российской Федерации в срок, не превышающий 5 рабочих дней с даты формирования проекта перечня участков недр местного значения или дополнения к ранее утвержденному перечню участков недр местного значения, направляет его в территориальный орган Федерального агентства по </w:t>
      </w:r>
      <w:proofErr w:type="spellStart"/>
      <w:r>
        <w:t>недропользованию</w:t>
      </w:r>
      <w:proofErr w:type="spellEnd"/>
      <w:r>
        <w:t xml:space="preserve"> с приложением по каждому включенному в проект перечня участков недр</w:t>
      </w:r>
      <w:proofErr w:type="gramEnd"/>
      <w:r>
        <w:t xml:space="preserve"> местного значения участку недр следующих документов и материалов:</w:t>
      </w:r>
    </w:p>
    <w:p w:rsidR="00412DFA" w:rsidRDefault="00412DFA">
      <w:pPr>
        <w:pStyle w:val="ConsPlusNormal"/>
        <w:spacing w:before="220"/>
        <w:ind w:firstLine="540"/>
        <w:jc w:val="both"/>
      </w:pPr>
      <w:proofErr w:type="gramStart"/>
      <w:r>
        <w:t xml:space="preserve">1) топографическая карта с отображением границ участка недр, предлагаемого к включению в перечень участков недр местного значения (с указанием географических координат угловых точек и площади участка), границ месторождений и проявлений полезных ископаемых, и пояснительная записка к топографической карте, содержащая описание и геологическое обоснование указанных границ участка недр в соответствии с </w:t>
      </w:r>
      <w:hyperlink r:id="rId22" w:history="1">
        <w:r>
          <w:rPr>
            <w:color w:val="0000FF"/>
          </w:rPr>
          <w:t>Положением</w:t>
        </w:r>
      </w:hyperlink>
      <w:r>
        <w:t xml:space="preserve"> об установлении и изменении границ участков недр, предоставленных в</w:t>
      </w:r>
      <w:proofErr w:type="gramEnd"/>
      <w:r>
        <w:t xml:space="preserve"> пользование, утвержденным постановлением Правительства Российской Федерации от 3 мая 2012 г. N 429 (Собрание законодательства Российской Федерации, 2012, N 19, ст. 2445; 2017, N 22, ст. 3153);</w:t>
      </w:r>
    </w:p>
    <w:p w:rsidR="00412DFA" w:rsidRDefault="00412DFA">
      <w:pPr>
        <w:pStyle w:val="ConsPlusNormal"/>
        <w:spacing w:before="220"/>
        <w:ind w:firstLine="540"/>
        <w:jc w:val="both"/>
      </w:pPr>
      <w:proofErr w:type="gramStart"/>
      <w:r>
        <w:t xml:space="preserve">2) копия согласия пользователя недр (в случае если включенный в проект перечня участок недр местного значения расположен в границах участка недр, предоставленного в пользование и не относящегося к участку недр местного значения), а также копии ответов уполномоченных органов государственной власти Российской Федерации на запросы, предусмотренные </w:t>
      </w:r>
      <w:hyperlink w:anchor="P80" w:history="1">
        <w:r>
          <w:rPr>
            <w:color w:val="0000FF"/>
          </w:rPr>
          <w:t>подпунктами 1</w:t>
        </w:r>
      </w:hyperlink>
      <w:r>
        <w:t xml:space="preserve"> - </w:t>
      </w:r>
      <w:hyperlink w:anchor="P82" w:history="1">
        <w:r>
          <w:rPr>
            <w:color w:val="0000FF"/>
          </w:rPr>
          <w:t>3 пункта 9</w:t>
        </w:r>
      </w:hyperlink>
      <w:r>
        <w:t xml:space="preserve"> Порядка.</w:t>
      </w:r>
      <w:proofErr w:type="gramEnd"/>
    </w:p>
    <w:p w:rsidR="00412DFA" w:rsidRDefault="00412DFA">
      <w:pPr>
        <w:pStyle w:val="ConsPlusNormal"/>
        <w:spacing w:before="220"/>
        <w:ind w:firstLine="540"/>
        <w:jc w:val="both"/>
      </w:pPr>
      <w:bookmarkStart w:id="10" w:name="P110"/>
      <w:bookmarkEnd w:id="10"/>
      <w:r>
        <w:t xml:space="preserve">15. </w:t>
      </w:r>
      <w:proofErr w:type="gramStart"/>
      <w:r>
        <w:t xml:space="preserve">Территориальный орган Федерального агентства по </w:t>
      </w:r>
      <w:proofErr w:type="spellStart"/>
      <w:r>
        <w:t>недропользованию</w:t>
      </w:r>
      <w:proofErr w:type="spellEnd"/>
      <w:r>
        <w:t xml:space="preserve"> в течение 20 рабочих дней с даты поступления проекта перечня участков недр местного значения или дополнения к ранее утвержденному перечню участков недр местного значения и прилагаемых к нему документов и материалов рассматривает указанный проект или дополнение на предмет отсутствия или наличия оснований для отказа в согласовании, установленных в </w:t>
      </w:r>
      <w:hyperlink w:anchor="P112" w:history="1">
        <w:r>
          <w:rPr>
            <w:color w:val="0000FF"/>
          </w:rPr>
          <w:t>пункте 16</w:t>
        </w:r>
      </w:hyperlink>
      <w:r>
        <w:t xml:space="preserve"> Порядка, а также проверяет</w:t>
      </w:r>
      <w:proofErr w:type="gramEnd"/>
      <w:r>
        <w:t xml:space="preserve"> информацию о наличии в границах участков недр местного значения геологических и (или) горных отводов участков недр, предоставленных в пользование для геологического изучения и (или) разведки и добычи полезных ископаемых, не относящихся к </w:t>
      </w:r>
      <w:proofErr w:type="gramStart"/>
      <w:r>
        <w:t>общераспространенным</w:t>
      </w:r>
      <w:proofErr w:type="gramEnd"/>
      <w:r>
        <w:t>.</w:t>
      </w:r>
    </w:p>
    <w:p w:rsidR="00412DFA" w:rsidRDefault="00412DFA">
      <w:pPr>
        <w:pStyle w:val="ConsPlusNormal"/>
        <w:spacing w:before="220"/>
        <w:ind w:firstLine="540"/>
        <w:jc w:val="both"/>
      </w:pPr>
      <w:proofErr w:type="gramStart"/>
      <w:r>
        <w:t xml:space="preserve">По результатам рассмотрения проекта перечня участков недр местного значения или дополнения к ранее утвержденному перечню участков недр местного значения территориальный орган Федерального агентства по </w:t>
      </w:r>
      <w:proofErr w:type="spellStart"/>
      <w:r>
        <w:t>недропользованию</w:t>
      </w:r>
      <w:proofErr w:type="spellEnd"/>
      <w:r>
        <w:t xml:space="preserve"> в срок, не превышающий 20 рабочих дней с даты поступления проекта перечня участков недр местного значения или дополнения к ранее утвержденному перечню участков недр местного значения и прилагаемых документов и материалов, подготавливает и направляет в</w:t>
      </w:r>
      <w:proofErr w:type="gramEnd"/>
      <w:r>
        <w:t xml:space="preserve"> </w:t>
      </w:r>
      <w:proofErr w:type="gramStart"/>
      <w:r>
        <w:t xml:space="preserve">соответствующий орган государственной власти субъекта Российской Федерации письмо о согласовании или об отказе в согласовании проекта перечня участков недр местного значения или дополнения к ранее утвержденному перечню участков недр местного значения с указанием причин отказа, а также, в случае расположения участков недр местного значения полностью или частично в границах геологических и (или) горных отводов, указанных в </w:t>
      </w:r>
      <w:hyperlink w:anchor="P110" w:history="1">
        <w:r>
          <w:rPr>
            <w:color w:val="0000FF"/>
          </w:rPr>
          <w:t>абзаце первом</w:t>
        </w:r>
      </w:hyperlink>
      <w:r>
        <w:t xml:space="preserve"> настоящего пункта</w:t>
      </w:r>
      <w:proofErr w:type="gramEnd"/>
      <w:r>
        <w:t>, прилагает к письму соответствующую информацию с указанием номеров лицензий.</w:t>
      </w:r>
    </w:p>
    <w:p w:rsidR="00412DFA" w:rsidRDefault="00412DFA">
      <w:pPr>
        <w:pStyle w:val="ConsPlusNormal"/>
        <w:spacing w:before="220"/>
        <w:ind w:firstLine="540"/>
        <w:jc w:val="both"/>
      </w:pPr>
      <w:bookmarkStart w:id="11" w:name="P112"/>
      <w:bookmarkEnd w:id="11"/>
      <w:r>
        <w:lastRenderedPageBreak/>
        <w:t xml:space="preserve">16. Основаниями для отказа в согласовании </w:t>
      </w:r>
      <w:proofErr w:type="gramStart"/>
      <w:r>
        <w:t>проекта перечня участков недр местного значения</w:t>
      </w:r>
      <w:proofErr w:type="gramEnd"/>
      <w:r>
        <w:t xml:space="preserve"> или дополнения к ранее утвержденному перечню участков недр местного значения являются:</w:t>
      </w:r>
    </w:p>
    <w:p w:rsidR="00412DFA" w:rsidRDefault="00412DFA">
      <w:pPr>
        <w:pStyle w:val="ConsPlusNormal"/>
        <w:spacing w:before="220"/>
        <w:ind w:firstLine="540"/>
        <w:jc w:val="both"/>
      </w:pPr>
      <w:bookmarkStart w:id="12" w:name="P113"/>
      <w:bookmarkEnd w:id="12"/>
      <w:proofErr w:type="gramStart"/>
      <w:r>
        <w:t>1) предлагаемый к включению в указанный перечень участок недр местного значения полностью или частично расположен над или под месторождением полезных ископаемых, учтенных государственным балансом запасов полезных ископаемых по состоянию на дату регистрации заявки (обращения) на включение участка недр в перечень участков недр местного значения и не относящихся к общераспространенным, находящимся в нераспределенном фонде (за исключением площадей залегания полезных ископаемых, которые</w:t>
      </w:r>
      <w:proofErr w:type="gramEnd"/>
      <w:r>
        <w:t xml:space="preserve"> </w:t>
      </w:r>
      <w:proofErr w:type="gramStart"/>
      <w:r>
        <w:t xml:space="preserve">по результатам государственной экспертизы запасов полезных ископаемых отнесены к категории </w:t>
      </w:r>
      <w:proofErr w:type="spellStart"/>
      <w:r>
        <w:t>забалансовых</w:t>
      </w:r>
      <w:proofErr w:type="spellEnd"/>
      <w:r>
        <w:t>);</w:t>
      </w:r>
      <w:proofErr w:type="gramEnd"/>
    </w:p>
    <w:p w:rsidR="00412DFA" w:rsidRDefault="00412DFA">
      <w:pPr>
        <w:pStyle w:val="ConsPlusNormal"/>
        <w:spacing w:before="220"/>
        <w:ind w:firstLine="540"/>
        <w:jc w:val="both"/>
      </w:pPr>
      <w:r>
        <w:t>2) предлагаемый к включению в указанный перечень участок недр местного значения полностью или частично расположен над или под проявлением твердых полезных ископаемых, учтенным в государственном кадастре месторождений и проявлений полезных ископаемых и находящимся в нераспределенном фонде;</w:t>
      </w:r>
    </w:p>
    <w:p w:rsidR="00412DFA" w:rsidRDefault="00412DFA">
      <w:pPr>
        <w:pStyle w:val="ConsPlusNormal"/>
        <w:spacing w:before="220"/>
        <w:ind w:firstLine="540"/>
        <w:jc w:val="both"/>
      </w:pPr>
      <w:bookmarkStart w:id="13" w:name="P115"/>
      <w:bookmarkEnd w:id="13"/>
      <w:r>
        <w:t>3) предлагаемый к включению в указанный перечень участок недр местного значения полностью или частично расположен в границах участка недр, включенного в федеральный фонд резервных участков недр, или участка недр федерального значения, находящегося в нераспределенном фонде;</w:t>
      </w:r>
    </w:p>
    <w:p w:rsidR="00412DFA" w:rsidRDefault="00412DFA">
      <w:pPr>
        <w:pStyle w:val="ConsPlusNormal"/>
        <w:spacing w:before="220"/>
        <w:ind w:firstLine="540"/>
        <w:jc w:val="both"/>
      </w:pPr>
      <w:r>
        <w:t xml:space="preserve">4) наличие оснований для отказа во включении участка недр в перечень участков недр местного значения, предусмотренных </w:t>
      </w:r>
      <w:hyperlink w:anchor="P85" w:history="1">
        <w:r>
          <w:rPr>
            <w:color w:val="0000FF"/>
          </w:rPr>
          <w:t>пунктом 10</w:t>
        </w:r>
      </w:hyperlink>
      <w:r>
        <w:t xml:space="preserve"> Порядка.</w:t>
      </w:r>
    </w:p>
    <w:p w:rsidR="00412DFA" w:rsidRDefault="00412DFA">
      <w:pPr>
        <w:pStyle w:val="ConsPlusNormal"/>
        <w:spacing w:before="220"/>
        <w:ind w:firstLine="540"/>
        <w:jc w:val="both"/>
      </w:pPr>
      <w:proofErr w:type="gramStart"/>
      <w:r>
        <w:t xml:space="preserve">Положения </w:t>
      </w:r>
      <w:hyperlink w:anchor="P113" w:history="1">
        <w:r>
          <w:rPr>
            <w:color w:val="0000FF"/>
          </w:rPr>
          <w:t>подпунктов 1</w:t>
        </w:r>
      </w:hyperlink>
      <w:r>
        <w:t xml:space="preserve"> - </w:t>
      </w:r>
      <w:hyperlink w:anchor="P115" w:history="1">
        <w:r>
          <w:rPr>
            <w:color w:val="0000FF"/>
          </w:rPr>
          <w:t>3</w:t>
        </w:r>
      </w:hyperlink>
      <w:r>
        <w:t xml:space="preserve"> настоящего пункта не применяются в отношении предлагаемых к включению в перечень участков недр местного значения участков недр, которые предоставлены в пользование для геологического изучения и (или) разведки и добычи общераспространенных полезных ископаемых в соответствии с </w:t>
      </w:r>
      <w:hyperlink r:id="rId23" w:history="1">
        <w:r>
          <w:rPr>
            <w:color w:val="0000FF"/>
          </w:rPr>
          <w:t>Законом</w:t>
        </w:r>
      </w:hyperlink>
      <w:r>
        <w:t xml:space="preserve"> Российской Федерации "О недрах" до вступления в силу Федерального </w:t>
      </w:r>
      <w:hyperlink r:id="rId24" w:history="1">
        <w:r>
          <w:rPr>
            <w:color w:val="0000FF"/>
          </w:rPr>
          <w:t>закона</w:t>
        </w:r>
      </w:hyperlink>
      <w:r>
        <w:t xml:space="preserve"> от 30 ноября 2011 г. N 364-ФЗ "О внесении изменений</w:t>
      </w:r>
      <w:proofErr w:type="gramEnd"/>
      <w:r>
        <w:t xml:space="preserve">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412DFA" w:rsidRDefault="00412DFA">
      <w:pPr>
        <w:pStyle w:val="ConsPlusNormal"/>
        <w:spacing w:before="220"/>
        <w:ind w:firstLine="540"/>
        <w:jc w:val="both"/>
      </w:pPr>
      <w:r>
        <w:t xml:space="preserve">17. Орган государственной власти субъекта Российской Федерации утверждает согласованный территориальным органом Федерального агентства по </w:t>
      </w:r>
      <w:proofErr w:type="spellStart"/>
      <w:r>
        <w:t>недропользованию</w:t>
      </w:r>
      <w:proofErr w:type="spellEnd"/>
      <w:r>
        <w:t xml:space="preserve"> проект перечня участков недр местного значения или дополнение к ранее утвержденному перечню участков недр местного значения в срок, не превышающий 10 рабочих дней со дня его получения.</w:t>
      </w:r>
    </w:p>
    <w:p w:rsidR="00412DFA" w:rsidRDefault="00412DFA">
      <w:pPr>
        <w:pStyle w:val="ConsPlusNormal"/>
        <w:spacing w:before="220"/>
        <w:ind w:firstLine="540"/>
        <w:jc w:val="both"/>
      </w:pPr>
      <w:proofErr w:type="gramStart"/>
      <w:r>
        <w:t>Не позднее 5 рабочих дней с даты утверждения перечня участков недр местного значения или дополнения к ранее утвержденному перечню участков недр местного значения орган государственной власти субъекта Российской Федерации направляет заявителю посредством использования электронной почты, указанной в заявке (обращении) на включение участка недр в перечень участков недр местного значения, уведомление о включении участка недр в перечень участков недр местного значения</w:t>
      </w:r>
      <w:proofErr w:type="gramEnd"/>
      <w:r>
        <w:t>. Заявитель вправе дополнительно получить уведомление на бумажном носителе на основании соответствующего заявления.</w:t>
      </w:r>
    </w:p>
    <w:p w:rsidR="00412DFA" w:rsidRDefault="00412DFA">
      <w:pPr>
        <w:pStyle w:val="ConsPlusNormal"/>
        <w:spacing w:before="220"/>
        <w:ind w:firstLine="540"/>
        <w:jc w:val="both"/>
      </w:pPr>
      <w:proofErr w:type="gramStart"/>
      <w:r>
        <w:t>Утвержденный органом государственной власти субъекта Российской Федерации перечень участков недр местного значения или дополнение к ранее утвержденному перечню участков недр местного значения подлежит опубликованию на официальном сайте органа государственной власти субъекта Российской Федерации и на официальном сайте Российской Федерации в информационно-телекоммуникационной сети "Интернет" для размещения информации о проведении торгов в срок, не превышающий 5 рабочих дней со дня его утверждения.</w:t>
      </w:r>
      <w:proofErr w:type="gramEnd"/>
    </w:p>
    <w:p w:rsidR="00412DFA" w:rsidRDefault="00412DFA">
      <w:pPr>
        <w:pStyle w:val="ConsPlusNormal"/>
        <w:spacing w:before="220"/>
        <w:ind w:firstLine="540"/>
        <w:jc w:val="both"/>
      </w:pPr>
      <w:r>
        <w:t xml:space="preserve">18. Орган государственной власти субъекта Российской Федерации вправе по согласованию с территориальным органом Федерального агентства по </w:t>
      </w:r>
      <w:proofErr w:type="spellStart"/>
      <w:r>
        <w:t>недропользованию</w:t>
      </w:r>
      <w:proofErr w:type="spellEnd"/>
      <w:r>
        <w:t xml:space="preserve"> исключать из </w:t>
      </w:r>
      <w:r>
        <w:lastRenderedPageBreak/>
        <w:t>согласованного перечня участков недр местного значения информацию об участках недр местного значения.</w:t>
      </w:r>
    </w:p>
    <w:p w:rsidR="00412DFA" w:rsidRDefault="00412DFA">
      <w:pPr>
        <w:pStyle w:val="ConsPlusNormal"/>
        <w:spacing w:before="220"/>
        <w:ind w:firstLine="540"/>
        <w:jc w:val="both"/>
      </w:pPr>
      <w:r>
        <w:t xml:space="preserve">Исключение информации об участке недр из перечня участков недр местного значения осуществляется в случае, если участок недр утратил статус участка недр местного значения, предусмотренного </w:t>
      </w:r>
      <w:hyperlink r:id="rId25" w:history="1">
        <w:r>
          <w:rPr>
            <w:color w:val="0000FF"/>
          </w:rPr>
          <w:t>пунктом 1 части первой статьи 2.3</w:t>
        </w:r>
      </w:hyperlink>
      <w:r>
        <w:t xml:space="preserve"> Закона Российской Федерации "О недрах".</w:t>
      </w:r>
    </w:p>
    <w:p w:rsidR="00412DFA" w:rsidRDefault="00412DFA">
      <w:pPr>
        <w:pStyle w:val="ConsPlusNormal"/>
        <w:jc w:val="both"/>
      </w:pPr>
    </w:p>
    <w:p w:rsidR="00412DFA" w:rsidRDefault="00412DFA">
      <w:pPr>
        <w:pStyle w:val="ConsPlusNormal"/>
        <w:jc w:val="both"/>
      </w:pPr>
    </w:p>
    <w:p w:rsidR="00412DFA" w:rsidRDefault="00412DFA">
      <w:pPr>
        <w:pStyle w:val="ConsPlusNormal"/>
        <w:jc w:val="both"/>
      </w:pPr>
    </w:p>
    <w:p w:rsidR="00412DFA" w:rsidRDefault="00412DFA">
      <w:pPr>
        <w:pStyle w:val="ConsPlusNormal"/>
        <w:jc w:val="both"/>
      </w:pPr>
    </w:p>
    <w:p w:rsidR="00412DFA" w:rsidRDefault="00412DFA">
      <w:pPr>
        <w:pStyle w:val="ConsPlusNormal"/>
        <w:jc w:val="both"/>
      </w:pPr>
    </w:p>
    <w:p w:rsidR="00412DFA" w:rsidRDefault="00412DFA">
      <w:pPr>
        <w:pStyle w:val="ConsPlusNormal"/>
        <w:jc w:val="right"/>
        <w:outlineLvl w:val="1"/>
      </w:pPr>
      <w:r>
        <w:t>Приложение</w:t>
      </w:r>
    </w:p>
    <w:p w:rsidR="00412DFA" w:rsidRDefault="00412DFA">
      <w:pPr>
        <w:pStyle w:val="ConsPlusNormal"/>
        <w:jc w:val="right"/>
      </w:pPr>
      <w:r>
        <w:t>к Порядку подготовки, рассмотрения,</w:t>
      </w:r>
    </w:p>
    <w:p w:rsidR="00412DFA" w:rsidRDefault="00412DFA">
      <w:pPr>
        <w:pStyle w:val="ConsPlusNormal"/>
        <w:jc w:val="right"/>
      </w:pPr>
      <w:r>
        <w:t>согласования перечней участков недр</w:t>
      </w:r>
    </w:p>
    <w:p w:rsidR="00412DFA" w:rsidRDefault="00412DFA">
      <w:pPr>
        <w:pStyle w:val="ConsPlusNormal"/>
        <w:jc w:val="right"/>
      </w:pPr>
      <w:r>
        <w:t xml:space="preserve">местного значения, </w:t>
      </w:r>
      <w:proofErr w:type="gramStart"/>
      <w:r>
        <w:t>содержащих</w:t>
      </w:r>
      <w:proofErr w:type="gramEnd"/>
    </w:p>
    <w:p w:rsidR="00412DFA" w:rsidRDefault="00412DFA">
      <w:pPr>
        <w:pStyle w:val="ConsPlusNormal"/>
        <w:jc w:val="right"/>
      </w:pPr>
      <w:r>
        <w:t>общераспространенные полезные</w:t>
      </w:r>
    </w:p>
    <w:p w:rsidR="00412DFA" w:rsidRDefault="00412DFA">
      <w:pPr>
        <w:pStyle w:val="ConsPlusNormal"/>
        <w:jc w:val="right"/>
      </w:pPr>
      <w:r>
        <w:t>ископаемые, или отказа в согласовании</w:t>
      </w:r>
    </w:p>
    <w:p w:rsidR="00412DFA" w:rsidRDefault="00412DFA">
      <w:pPr>
        <w:pStyle w:val="ConsPlusNormal"/>
        <w:jc w:val="right"/>
      </w:pPr>
      <w:r>
        <w:t xml:space="preserve">таких перечней, </w:t>
      </w:r>
      <w:proofErr w:type="gramStart"/>
      <w:r>
        <w:t>утвержденному</w:t>
      </w:r>
      <w:proofErr w:type="gramEnd"/>
    </w:p>
    <w:p w:rsidR="00412DFA" w:rsidRDefault="00412DFA">
      <w:pPr>
        <w:pStyle w:val="ConsPlusNormal"/>
        <w:jc w:val="right"/>
      </w:pPr>
      <w:r>
        <w:t>приказом Федерального агентства</w:t>
      </w:r>
    </w:p>
    <w:p w:rsidR="00412DFA" w:rsidRDefault="00412DFA">
      <w:pPr>
        <w:pStyle w:val="ConsPlusNormal"/>
        <w:jc w:val="right"/>
      </w:pPr>
      <w:r>
        <w:t xml:space="preserve">по </w:t>
      </w:r>
      <w:proofErr w:type="spellStart"/>
      <w:r>
        <w:t>недропользованию</w:t>
      </w:r>
      <w:proofErr w:type="spellEnd"/>
    </w:p>
    <w:p w:rsidR="00412DFA" w:rsidRDefault="00412DFA">
      <w:pPr>
        <w:pStyle w:val="ConsPlusNormal"/>
        <w:jc w:val="right"/>
      </w:pPr>
      <w:r>
        <w:t>от 06.10.2020 N 428</w:t>
      </w:r>
    </w:p>
    <w:p w:rsidR="00412DFA" w:rsidRDefault="00412DFA">
      <w:pPr>
        <w:pStyle w:val="ConsPlusNormal"/>
        <w:jc w:val="both"/>
      </w:pPr>
    </w:p>
    <w:p w:rsidR="00412DFA" w:rsidRDefault="00412DFA">
      <w:pPr>
        <w:pStyle w:val="ConsPlusNormal"/>
        <w:jc w:val="right"/>
      </w:pPr>
      <w:r>
        <w:t>Рекомендуемый образец</w:t>
      </w:r>
    </w:p>
    <w:p w:rsidR="00412DFA" w:rsidRDefault="00412DFA">
      <w:pPr>
        <w:pStyle w:val="ConsPlusNormal"/>
        <w:jc w:val="both"/>
      </w:pPr>
    </w:p>
    <w:p w:rsidR="00412DFA" w:rsidRDefault="00412DFA">
      <w:pPr>
        <w:pStyle w:val="ConsPlusNormal"/>
        <w:jc w:val="center"/>
      </w:pPr>
      <w:bookmarkStart w:id="14" w:name="P141"/>
      <w:bookmarkEnd w:id="14"/>
      <w:r>
        <w:t>Перечень</w:t>
      </w:r>
    </w:p>
    <w:p w:rsidR="00412DFA" w:rsidRDefault="00412DFA">
      <w:pPr>
        <w:pStyle w:val="ConsPlusNormal"/>
        <w:jc w:val="center"/>
      </w:pPr>
      <w:r>
        <w:t xml:space="preserve">участков недр местного значения </w:t>
      </w:r>
      <w:proofErr w:type="gramStart"/>
      <w:r>
        <w:t>по</w:t>
      </w:r>
      <w:proofErr w:type="gramEnd"/>
    </w:p>
    <w:p w:rsidR="00412DFA" w:rsidRDefault="00412DFA">
      <w:pPr>
        <w:pStyle w:val="ConsPlusNormal"/>
        <w:jc w:val="center"/>
      </w:pPr>
      <w:r>
        <w:t>____________________________________________________</w:t>
      </w:r>
    </w:p>
    <w:p w:rsidR="00412DFA" w:rsidRDefault="00412DFA">
      <w:pPr>
        <w:pStyle w:val="ConsPlusNormal"/>
        <w:jc w:val="center"/>
      </w:pPr>
      <w:r>
        <w:t>(наименование субъекта Российской Федерации)</w:t>
      </w:r>
    </w:p>
    <w:p w:rsidR="00412DFA" w:rsidRDefault="00412DFA">
      <w:pPr>
        <w:pStyle w:val="ConsPlusNormal"/>
        <w:jc w:val="both"/>
      </w:pPr>
    </w:p>
    <w:p w:rsidR="00412DFA" w:rsidRDefault="00412DFA">
      <w:pPr>
        <w:sectPr w:rsidR="00412DFA" w:rsidSect="00D166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907"/>
        <w:gridCol w:w="1361"/>
        <w:gridCol w:w="624"/>
        <w:gridCol w:w="680"/>
        <w:gridCol w:w="567"/>
        <w:gridCol w:w="680"/>
        <w:gridCol w:w="624"/>
        <w:gridCol w:w="454"/>
        <w:gridCol w:w="624"/>
        <w:gridCol w:w="624"/>
        <w:gridCol w:w="1286"/>
        <w:gridCol w:w="1291"/>
        <w:gridCol w:w="1579"/>
        <w:gridCol w:w="1531"/>
        <w:gridCol w:w="2268"/>
        <w:gridCol w:w="1247"/>
        <w:gridCol w:w="850"/>
      </w:tblGrid>
      <w:tr w:rsidR="00412DFA">
        <w:tc>
          <w:tcPr>
            <w:tcW w:w="624" w:type="dxa"/>
            <w:vMerge w:val="restart"/>
          </w:tcPr>
          <w:p w:rsidR="00412DFA" w:rsidRDefault="00412DF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907" w:type="dxa"/>
            <w:vMerge w:val="restart"/>
          </w:tcPr>
          <w:p w:rsidR="00412DFA" w:rsidRDefault="00412DFA">
            <w:pPr>
              <w:pStyle w:val="ConsPlusNormal"/>
              <w:jc w:val="center"/>
            </w:pPr>
            <w:r>
              <w:t>Вид полезного ископаемого</w:t>
            </w:r>
          </w:p>
        </w:tc>
        <w:tc>
          <w:tcPr>
            <w:tcW w:w="1361" w:type="dxa"/>
            <w:vMerge w:val="restart"/>
          </w:tcPr>
          <w:p w:rsidR="00412DFA" w:rsidRDefault="00412DFA">
            <w:pPr>
              <w:pStyle w:val="ConsPlusNormal"/>
              <w:jc w:val="center"/>
            </w:pPr>
            <w:r>
              <w:t>Наименование участка недр (месторождение, участок, площадь), местоположение (район)</w:t>
            </w:r>
          </w:p>
        </w:tc>
        <w:tc>
          <w:tcPr>
            <w:tcW w:w="4877" w:type="dxa"/>
            <w:gridSpan w:val="8"/>
            <w:vMerge w:val="restart"/>
          </w:tcPr>
          <w:p w:rsidR="00412DFA" w:rsidRDefault="00412DFA">
            <w:pPr>
              <w:pStyle w:val="ConsPlusNormal"/>
              <w:jc w:val="center"/>
            </w:pPr>
            <w:r>
              <w:t>Площадь, кв. км (S)</w:t>
            </w:r>
          </w:p>
          <w:p w:rsidR="00412DFA" w:rsidRDefault="00412DFA">
            <w:pPr>
              <w:pStyle w:val="ConsPlusNormal"/>
              <w:jc w:val="center"/>
            </w:pPr>
            <w:r>
              <w:t>Географические координаты угловых точек границ участка недр</w:t>
            </w:r>
          </w:p>
        </w:tc>
        <w:tc>
          <w:tcPr>
            <w:tcW w:w="2577" w:type="dxa"/>
            <w:gridSpan w:val="2"/>
          </w:tcPr>
          <w:p w:rsidR="00412DFA" w:rsidRDefault="00412DFA">
            <w:pPr>
              <w:pStyle w:val="ConsPlusNormal"/>
              <w:jc w:val="center"/>
            </w:pPr>
            <w:r>
              <w:t>Запасы и прогнозные ресурсы участка недр</w:t>
            </w:r>
          </w:p>
        </w:tc>
        <w:tc>
          <w:tcPr>
            <w:tcW w:w="1579" w:type="dxa"/>
            <w:vMerge w:val="restart"/>
          </w:tcPr>
          <w:p w:rsidR="00412DFA" w:rsidRDefault="00412DFA">
            <w:pPr>
              <w:pStyle w:val="ConsPlusNormal"/>
              <w:jc w:val="center"/>
            </w:pPr>
            <w:r>
              <w:t xml:space="preserve">Месторождения и (или) проявления ОПИ </w:t>
            </w:r>
            <w:hyperlink w:anchor="P271" w:history="1">
              <w:r>
                <w:rPr>
                  <w:color w:val="0000FF"/>
                </w:rPr>
                <w:t>&lt;*&gt;</w:t>
              </w:r>
            </w:hyperlink>
          </w:p>
        </w:tc>
        <w:tc>
          <w:tcPr>
            <w:tcW w:w="1531" w:type="dxa"/>
            <w:vMerge w:val="restart"/>
          </w:tcPr>
          <w:p w:rsidR="00412DFA" w:rsidRDefault="00412DFA">
            <w:pPr>
              <w:pStyle w:val="ConsPlusNormal"/>
              <w:jc w:val="center"/>
            </w:pPr>
            <w:r>
              <w:t>Реквизиты лицензии на пользование участком недр местного значения (в случае если участок недр предоставлен в пользование)</w:t>
            </w:r>
          </w:p>
        </w:tc>
        <w:tc>
          <w:tcPr>
            <w:tcW w:w="2268" w:type="dxa"/>
            <w:vMerge w:val="restart"/>
          </w:tcPr>
          <w:p w:rsidR="00412DFA" w:rsidRDefault="00412DFA">
            <w:pPr>
              <w:pStyle w:val="ConsPlusNormal"/>
              <w:jc w:val="center"/>
            </w:pPr>
            <w:r>
              <w:t>Реквизиты лицензии на пользование участком недр, не относящимся к участку недр местного значения (в случае если участок недр находится в границах участка недр, предоставленного в пользование)</w:t>
            </w:r>
          </w:p>
        </w:tc>
        <w:tc>
          <w:tcPr>
            <w:tcW w:w="1247" w:type="dxa"/>
            <w:vMerge w:val="restart"/>
          </w:tcPr>
          <w:p w:rsidR="00412DFA" w:rsidRDefault="00412DFA">
            <w:pPr>
              <w:pStyle w:val="ConsPlusNormal"/>
              <w:jc w:val="center"/>
            </w:pPr>
            <w:r>
              <w:t>Отнесение участка недр к распределенному или нераспределенному фонду недр</w:t>
            </w:r>
          </w:p>
        </w:tc>
        <w:tc>
          <w:tcPr>
            <w:tcW w:w="850" w:type="dxa"/>
            <w:vMerge w:val="restart"/>
            <w:tcBorders>
              <w:right w:val="nil"/>
            </w:tcBorders>
          </w:tcPr>
          <w:p w:rsidR="00412DFA" w:rsidRDefault="00412DFA">
            <w:pPr>
              <w:pStyle w:val="ConsPlusNormal"/>
              <w:jc w:val="center"/>
            </w:pPr>
            <w:r>
              <w:t>Ограничение пользования недрами</w:t>
            </w:r>
          </w:p>
        </w:tc>
      </w:tr>
      <w:tr w:rsidR="00412DFA">
        <w:trPr>
          <w:trHeight w:val="270"/>
        </w:trPr>
        <w:tc>
          <w:tcPr>
            <w:tcW w:w="624" w:type="dxa"/>
            <w:vMerge/>
          </w:tcPr>
          <w:p w:rsidR="00412DFA" w:rsidRDefault="00412DFA">
            <w:pPr>
              <w:spacing w:after="1" w:line="0" w:lineRule="atLeast"/>
            </w:pPr>
          </w:p>
        </w:tc>
        <w:tc>
          <w:tcPr>
            <w:tcW w:w="907" w:type="dxa"/>
            <w:vMerge/>
          </w:tcPr>
          <w:p w:rsidR="00412DFA" w:rsidRDefault="00412DFA">
            <w:pPr>
              <w:spacing w:after="1" w:line="0" w:lineRule="atLeast"/>
            </w:pPr>
          </w:p>
        </w:tc>
        <w:tc>
          <w:tcPr>
            <w:tcW w:w="1361" w:type="dxa"/>
            <w:vMerge/>
          </w:tcPr>
          <w:p w:rsidR="00412DFA" w:rsidRDefault="00412DFA">
            <w:pPr>
              <w:spacing w:after="1" w:line="0" w:lineRule="atLeast"/>
            </w:pPr>
          </w:p>
        </w:tc>
        <w:tc>
          <w:tcPr>
            <w:tcW w:w="4877" w:type="dxa"/>
            <w:gridSpan w:val="8"/>
            <w:vMerge/>
          </w:tcPr>
          <w:p w:rsidR="00412DFA" w:rsidRDefault="00412DFA">
            <w:pPr>
              <w:spacing w:after="1" w:line="0" w:lineRule="atLeast"/>
            </w:pPr>
          </w:p>
        </w:tc>
        <w:tc>
          <w:tcPr>
            <w:tcW w:w="1286" w:type="dxa"/>
            <w:vMerge w:val="restart"/>
          </w:tcPr>
          <w:p w:rsidR="00412DFA" w:rsidRDefault="00412DFA">
            <w:pPr>
              <w:pStyle w:val="ConsPlusNormal"/>
              <w:jc w:val="center"/>
            </w:pPr>
            <w:r>
              <w:t xml:space="preserve">Количество запасов и прогнозных ресурсов (с указанием категории) (ед. </w:t>
            </w:r>
            <w:proofErr w:type="spellStart"/>
            <w:r>
              <w:t>изм</w:t>
            </w:r>
            <w:proofErr w:type="spellEnd"/>
            <w:r>
              <w:t>.)</w:t>
            </w:r>
          </w:p>
        </w:tc>
        <w:tc>
          <w:tcPr>
            <w:tcW w:w="1291" w:type="dxa"/>
            <w:vMerge w:val="restart"/>
          </w:tcPr>
          <w:p w:rsidR="00412DFA" w:rsidRDefault="00412DFA">
            <w:pPr>
              <w:pStyle w:val="ConsPlusNormal"/>
              <w:jc w:val="center"/>
            </w:pPr>
            <w:r>
              <w:t>Протокол экспертизы запасов полезных ископаемых (при наличии) (экспертный орган, номер, дата)</w:t>
            </w:r>
          </w:p>
        </w:tc>
        <w:tc>
          <w:tcPr>
            <w:tcW w:w="1579" w:type="dxa"/>
            <w:vMerge/>
          </w:tcPr>
          <w:p w:rsidR="00412DFA" w:rsidRDefault="00412DFA">
            <w:pPr>
              <w:spacing w:after="1" w:line="0" w:lineRule="atLeast"/>
            </w:pPr>
          </w:p>
        </w:tc>
        <w:tc>
          <w:tcPr>
            <w:tcW w:w="1531" w:type="dxa"/>
            <w:vMerge/>
          </w:tcPr>
          <w:p w:rsidR="00412DFA" w:rsidRDefault="00412DFA">
            <w:pPr>
              <w:spacing w:after="1" w:line="0" w:lineRule="atLeast"/>
            </w:pPr>
          </w:p>
        </w:tc>
        <w:tc>
          <w:tcPr>
            <w:tcW w:w="2268" w:type="dxa"/>
            <w:vMerge/>
          </w:tcPr>
          <w:p w:rsidR="00412DFA" w:rsidRDefault="00412DFA">
            <w:pPr>
              <w:spacing w:after="1" w:line="0" w:lineRule="atLeast"/>
            </w:pPr>
          </w:p>
        </w:tc>
        <w:tc>
          <w:tcPr>
            <w:tcW w:w="1247" w:type="dxa"/>
            <w:vMerge/>
          </w:tcPr>
          <w:p w:rsidR="00412DFA" w:rsidRDefault="00412DFA">
            <w:pPr>
              <w:spacing w:after="1" w:line="0" w:lineRule="atLeast"/>
            </w:pPr>
          </w:p>
        </w:tc>
        <w:tc>
          <w:tcPr>
            <w:tcW w:w="850" w:type="dxa"/>
            <w:vMerge/>
            <w:tcBorders>
              <w:right w:val="nil"/>
            </w:tcBorders>
          </w:tcPr>
          <w:p w:rsidR="00412DFA" w:rsidRDefault="00412DFA">
            <w:pPr>
              <w:spacing w:after="1" w:line="0" w:lineRule="atLeast"/>
            </w:pPr>
          </w:p>
        </w:tc>
      </w:tr>
      <w:tr w:rsidR="00412DFA">
        <w:tc>
          <w:tcPr>
            <w:tcW w:w="624" w:type="dxa"/>
            <w:vMerge/>
          </w:tcPr>
          <w:p w:rsidR="00412DFA" w:rsidRDefault="00412DFA">
            <w:pPr>
              <w:spacing w:after="1" w:line="0" w:lineRule="atLeast"/>
            </w:pPr>
          </w:p>
        </w:tc>
        <w:tc>
          <w:tcPr>
            <w:tcW w:w="907" w:type="dxa"/>
            <w:vMerge/>
          </w:tcPr>
          <w:p w:rsidR="00412DFA" w:rsidRDefault="00412DFA">
            <w:pPr>
              <w:spacing w:after="1" w:line="0" w:lineRule="atLeast"/>
            </w:pPr>
          </w:p>
        </w:tc>
        <w:tc>
          <w:tcPr>
            <w:tcW w:w="1361" w:type="dxa"/>
            <w:vMerge/>
          </w:tcPr>
          <w:p w:rsidR="00412DFA" w:rsidRDefault="00412DFA">
            <w:pPr>
              <w:spacing w:after="1" w:line="0" w:lineRule="atLeast"/>
            </w:pPr>
          </w:p>
        </w:tc>
        <w:tc>
          <w:tcPr>
            <w:tcW w:w="624" w:type="dxa"/>
            <w:vMerge w:val="restart"/>
          </w:tcPr>
          <w:p w:rsidR="00412DFA" w:rsidRDefault="00412DFA">
            <w:pPr>
              <w:pStyle w:val="ConsPlusNormal"/>
              <w:jc w:val="center"/>
            </w:pPr>
            <w:r>
              <w:t>S</w:t>
            </w:r>
          </w:p>
        </w:tc>
        <w:tc>
          <w:tcPr>
            <w:tcW w:w="2551" w:type="dxa"/>
            <w:gridSpan w:val="4"/>
          </w:tcPr>
          <w:p w:rsidR="00412DFA" w:rsidRDefault="00412DFA">
            <w:pPr>
              <w:pStyle w:val="ConsPlusNormal"/>
              <w:jc w:val="center"/>
            </w:pPr>
            <w:proofErr w:type="spellStart"/>
            <w:r>
              <w:t>с.ш</w:t>
            </w:r>
            <w:proofErr w:type="spellEnd"/>
            <w:r>
              <w:t>.</w:t>
            </w:r>
          </w:p>
        </w:tc>
        <w:tc>
          <w:tcPr>
            <w:tcW w:w="1702" w:type="dxa"/>
            <w:gridSpan w:val="3"/>
          </w:tcPr>
          <w:p w:rsidR="00412DFA" w:rsidRDefault="00412DFA">
            <w:pPr>
              <w:pStyle w:val="ConsPlusNormal"/>
              <w:jc w:val="center"/>
            </w:pPr>
            <w:r>
              <w:t>в.д.</w:t>
            </w:r>
          </w:p>
        </w:tc>
        <w:tc>
          <w:tcPr>
            <w:tcW w:w="1286" w:type="dxa"/>
            <w:vMerge/>
          </w:tcPr>
          <w:p w:rsidR="00412DFA" w:rsidRDefault="00412DFA">
            <w:pPr>
              <w:spacing w:after="1" w:line="0" w:lineRule="atLeast"/>
            </w:pPr>
          </w:p>
        </w:tc>
        <w:tc>
          <w:tcPr>
            <w:tcW w:w="1291" w:type="dxa"/>
            <w:vMerge/>
          </w:tcPr>
          <w:p w:rsidR="00412DFA" w:rsidRDefault="00412DFA">
            <w:pPr>
              <w:spacing w:after="1" w:line="0" w:lineRule="atLeast"/>
            </w:pPr>
          </w:p>
        </w:tc>
        <w:tc>
          <w:tcPr>
            <w:tcW w:w="1579" w:type="dxa"/>
            <w:vMerge/>
          </w:tcPr>
          <w:p w:rsidR="00412DFA" w:rsidRDefault="00412DFA">
            <w:pPr>
              <w:spacing w:after="1" w:line="0" w:lineRule="atLeast"/>
            </w:pPr>
          </w:p>
        </w:tc>
        <w:tc>
          <w:tcPr>
            <w:tcW w:w="1531" w:type="dxa"/>
            <w:vMerge/>
          </w:tcPr>
          <w:p w:rsidR="00412DFA" w:rsidRDefault="00412DFA">
            <w:pPr>
              <w:spacing w:after="1" w:line="0" w:lineRule="atLeast"/>
            </w:pPr>
          </w:p>
        </w:tc>
        <w:tc>
          <w:tcPr>
            <w:tcW w:w="2268" w:type="dxa"/>
            <w:vMerge/>
          </w:tcPr>
          <w:p w:rsidR="00412DFA" w:rsidRDefault="00412DFA">
            <w:pPr>
              <w:spacing w:after="1" w:line="0" w:lineRule="atLeast"/>
            </w:pPr>
          </w:p>
        </w:tc>
        <w:tc>
          <w:tcPr>
            <w:tcW w:w="1247" w:type="dxa"/>
            <w:vMerge/>
          </w:tcPr>
          <w:p w:rsidR="00412DFA" w:rsidRDefault="00412DFA">
            <w:pPr>
              <w:spacing w:after="1" w:line="0" w:lineRule="atLeast"/>
            </w:pPr>
          </w:p>
        </w:tc>
        <w:tc>
          <w:tcPr>
            <w:tcW w:w="850" w:type="dxa"/>
            <w:vMerge/>
            <w:tcBorders>
              <w:right w:val="nil"/>
            </w:tcBorders>
          </w:tcPr>
          <w:p w:rsidR="00412DFA" w:rsidRDefault="00412DFA">
            <w:pPr>
              <w:spacing w:after="1" w:line="0" w:lineRule="atLeast"/>
            </w:pPr>
          </w:p>
        </w:tc>
      </w:tr>
      <w:tr w:rsidR="00412DFA">
        <w:tc>
          <w:tcPr>
            <w:tcW w:w="624" w:type="dxa"/>
            <w:vMerge/>
          </w:tcPr>
          <w:p w:rsidR="00412DFA" w:rsidRDefault="00412DFA">
            <w:pPr>
              <w:spacing w:after="1" w:line="0" w:lineRule="atLeast"/>
            </w:pPr>
          </w:p>
        </w:tc>
        <w:tc>
          <w:tcPr>
            <w:tcW w:w="907" w:type="dxa"/>
            <w:vMerge/>
          </w:tcPr>
          <w:p w:rsidR="00412DFA" w:rsidRDefault="00412DFA">
            <w:pPr>
              <w:spacing w:after="1" w:line="0" w:lineRule="atLeast"/>
            </w:pPr>
          </w:p>
        </w:tc>
        <w:tc>
          <w:tcPr>
            <w:tcW w:w="1361" w:type="dxa"/>
            <w:vMerge/>
          </w:tcPr>
          <w:p w:rsidR="00412DFA" w:rsidRDefault="00412DFA">
            <w:pPr>
              <w:spacing w:after="1" w:line="0" w:lineRule="atLeast"/>
            </w:pPr>
          </w:p>
        </w:tc>
        <w:tc>
          <w:tcPr>
            <w:tcW w:w="624" w:type="dxa"/>
            <w:vMerge/>
          </w:tcPr>
          <w:p w:rsidR="00412DFA" w:rsidRDefault="00412DFA">
            <w:pPr>
              <w:spacing w:after="1" w:line="0" w:lineRule="atLeast"/>
            </w:pPr>
          </w:p>
        </w:tc>
        <w:tc>
          <w:tcPr>
            <w:tcW w:w="680" w:type="dxa"/>
          </w:tcPr>
          <w:p w:rsidR="00412DFA" w:rsidRDefault="00412DFA">
            <w:pPr>
              <w:pStyle w:val="ConsPlusNormal"/>
              <w:jc w:val="center"/>
            </w:pPr>
            <w:r>
              <w:t xml:space="preserve">N </w:t>
            </w:r>
            <w:proofErr w:type="spellStart"/>
            <w:r>
              <w:t>точ</w:t>
            </w:r>
            <w:proofErr w:type="spellEnd"/>
            <w:r>
              <w:t>.</w:t>
            </w:r>
          </w:p>
        </w:tc>
        <w:tc>
          <w:tcPr>
            <w:tcW w:w="567" w:type="dxa"/>
          </w:tcPr>
          <w:p w:rsidR="00412DFA" w:rsidRDefault="00412DFA">
            <w:pPr>
              <w:pStyle w:val="ConsPlusNormal"/>
              <w:jc w:val="center"/>
            </w:pPr>
            <w:r>
              <w:t>град.</w:t>
            </w:r>
          </w:p>
        </w:tc>
        <w:tc>
          <w:tcPr>
            <w:tcW w:w="680" w:type="dxa"/>
          </w:tcPr>
          <w:p w:rsidR="00412DFA" w:rsidRDefault="00412DFA">
            <w:pPr>
              <w:pStyle w:val="ConsPlusNormal"/>
              <w:jc w:val="center"/>
            </w:pPr>
            <w:r>
              <w:t>мин.</w:t>
            </w:r>
          </w:p>
        </w:tc>
        <w:tc>
          <w:tcPr>
            <w:tcW w:w="624" w:type="dxa"/>
          </w:tcPr>
          <w:p w:rsidR="00412DFA" w:rsidRDefault="00412DFA">
            <w:pPr>
              <w:pStyle w:val="ConsPlusNormal"/>
              <w:jc w:val="center"/>
            </w:pPr>
            <w:r>
              <w:t>сек.</w:t>
            </w:r>
          </w:p>
        </w:tc>
        <w:tc>
          <w:tcPr>
            <w:tcW w:w="454" w:type="dxa"/>
          </w:tcPr>
          <w:p w:rsidR="00412DFA" w:rsidRDefault="00412DFA">
            <w:pPr>
              <w:pStyle w:val="ConsPlusNormal"/>
              <w:jc w:val="center"/>
            </w:pPr>
            <w:r>
              <w:t>град.</w:t>
            </w:r>
          </w:p>
        </w:tc>
        <w:tc>
          <w:tcPr>
            <w:tcW w:w="624" w:type="dxa"/>
          </w:tcPr>
          <w:p w:rsidR="00412DFA" w:rsidRDefault="00412DFA">
            <w:pPr>
              <w:pStyle w:val="ConsPlusNormal"/>
              <w:jc w:val="center"/>
            </w:pPr>
            <w:r>
              <w:t>мин.</w:t>
            </w:r>
          </w:p>
        </w:tc>
        <w:tc>
          <w:tcPr>
            <w:tcW w:w="624" w:type="dxa"/>
          </w:tcPr>
          <w:p w:rsidR="00412DFA" w:rsidRDefault="00412DFA">
            <w:pPr>
              <w:pStyle w:val="ConsPlusNormal"/>
              <w:jc w:val="center"/>
            </w:pPr>
            <w:r>
              <w:t>сек.</w:t>
            </w:r>
          </w:p>
        </w:tc>
        <w:tc>
          <w:tcPr>
            <w:tcW w:w="1286" w:type="dxa"/>
            <w:vMerge/>
          </w:tcPr>
          <w:p w:rsidR="00412DFA" w:rsidRDefault="00412DFA">
            <w:pPr>
              <w:spacing w:after="1" w:line="0" w:lineRule="atLeast"/>
            </w:pPr>
          </w:p>
        </w:tc>
        <w:tc>
          <w:tcPr>
            <w:tcW w:w="1291" w:type="dxa"/>
            <w:vMerge/>
          </w:tcPr>
          <w:p w:rsidR="00412DFA" w:rsidRDefault="00412DFA">
            <w:pPr>
              <w:spacing w:after="1" w:line="0" w:lineRule="atLeast"/>
            </w:pPr>
          </w:p>
        </w:tc>
        <w:tc>
          <w:tcPr>
            <w:tcW w:w="1579" w:type="dxa"/>
            <w:vMerge/>
          </w:tcPr>
          <w:p w:rsidR="00412DFA" w:rsidRDefault="00412DFA">
            <w:pPr>
              <w:spacing w:after="1" w:line="0" w:lineRule="atLeast"/>
            </w:pPr>
          </w:p>
        </w:tc>
        <w:tc>
          <w:tcPr>
            <w:tcW w:w="1531" w:type="dxa"/>
            <w:vMerge/>
          </w:tcPr>
          <w:p w:rsidR="00412DFA" w:rsidRDefault="00412DFA">
            <w:pPr>
              <w:spacing w:after="1" w:line="0" w:lineRule="atLeast"/>
            </w:pPr>
          </w:p>
        </w:tc>
        <w:tc>
          <w:tcPr>
            <w:tcW w:w="2268" w:type="dxa"/>
            <w:vMerge/>
          </w:tcPr>
          <w:p w:rsidR="00412DFA" w:rsidRDefault="00412DFA">
            <w:pPr>
              <w:spacing w:after="1" w:line="0" w:lineRule="atLeast"/>
            </w:pPr>
          </w:p>
        </w:tc>
        <w:tc>
          <w:tcPr>
            <w:tcW w:w="1247" w:type="dxa"/>
            <w:vMerge/>
          </w:tcPr>
          <w:p w:rsidR="00412DFA" w:rsidRDefault="00412DFA">
            <w:pPr>
              <w:spacing w:after="1" w:line="0" w:lineRule="atLeast"/>
            </w:pPr>
          </w:p>
        </w:tc>
        <w:tc>
          <w:tcPr>
            <w:tcW w:w="850" w:type="dxa"/>
            <w:vMerge/>
            <w:tcBorders>
              <w:right w:val="nil"/>
            </w:tcBorders>
          </w:tcPr>
          <w:p w:rsidR="00412DFA" w:rsidRDefault="00412DFA">
            <w:pPr>
              <w:spacing w:after="1" w:line="0" w:lineRule="atLeast"/>
            </w:pPr>
          </w:p>
        </w:tc>
      </w:tr>
      <w:tr w:rsidR="00412DFA">
        <w:tc>
          <w:tcPr>
            <w:tcW w:w="624" w:type="dxa"/>
          </w:tcPr>
          <w:p w:rsidR="00412DFA" w:rsidRDefault="00412DFA">
            <w:pPr>
              <w:pStyle w:val="ConsPlusNormal"/>
              <w:jc w:val="center"/>
            </w:pPr>
            <w:r>
              <w:t>1</w:t>
            </w:r>
          </w:p>
        </w:tc>
        <w:tc>
          <w:tcPr>
            <w:tcW w:w="907" w:type="dxa"/>
          </w:tcPr>
          <w:p w:rsidR="00412DFA" w:rsidRDefault="00412DFA">
            <w:pPr>
              <w:pStyle w:val="ConsPlusNormal"/>
              <w:jc w:val="center"/>
            </w:pPr>
            <w:r>
              <w:t>2</w:t>
            </w:r>
          </w:p>
        </w:tc>
        <w:tc>
          <w:tcPr>
            <w:tcW w:w="1361" w:type="dxa"/>
          </w:tcPr>
          <w:p w:rsidR="00412DFA" w:rsidRDefault="00412DFA">
            <w:pPr>
              <w:pStyle w:val="ConsPlusNormal"/>
              <w:jc w:val="center"/>
            </w:pPr>
            <w:r>
              <w:t>3</w:t>
            </w:r>
          </w:p>
        </w:tc>
        <w:tc>
          <w:tcPr>
            <w:tcW w:w="4877" w:type="dxa"/>
            <w:gridSpan w:val="8"/>
          </w:tcPr>
          <w:p w:rsidR="00412DFA" w:rsidRDefault="00412DFA">
            <w:pPr>
              <w:pStyle w:val="ConsPlusNormal"/>
              <w:jc w:val="center"/>
            </w:pPr>
            <w:r>
              <w:t>4</w:t>
            </w:r>
          </w:p>
        </w:tc>
        <w:tc>
          <w:tcPr>
            <w:tcW w:w="2577" w:type="dxa"/>
            <w:gridSpan w:val="2"/>
          </w:tcPr>
          <w:p w:rsidR="00412DFA" w:rsidRDefault="00412DFA">
            <w:pPr>
              <w:pStyle w:val="ConsPlusNormal"/>
              <w:jc w:val="center"/>
            </w:pPr>
            <w:r>
              <w:t>5</w:t>
            </w:r>
          </w:p>
        </w:tc>
        <w:tc>
          <w:tcPr>
            <w:tcW w:w="1579" w:type="dxa"/>
          </w:tcPr>
          <w:p w:rsidR="00412DFA" w:rsidRDefault="00412DFA">
            <w:pPr>
              <w:pStyle w:val="ConsPlusNormal"/>
              <w:jc w:val="center"/>
            </w:pPr>
            <w:r>
              <w:t>6</w:t>
            </w:r>
          </w:p>
        </w:tc>
        <w:tc>
          <w:tcPr>
            <w:tcW w:w="1531" w:type="dxa"/>
          </w:tcPr>
          <w:p w:rsidR="00412DFA" w:rsidRDefault="00412DFA">
            <w:pPr>
              <w:pStyle w:val="ConsPlusNormal"/>
              <w:jc w:val="center"/>
            </w:pPr>
            <w:r>
              <w:t>7</w:t>
            </w:r>
          </w:p>
        </w:tc>
        <w:tc>
          <w:tcPr>
            <w:tcW w:w="2268" w:type="dxa"/>
          </w:tcPr>
          <w:p w:rsidR="00412DFA" w:rsidRDefault="00412DFA">
            <w:pPr>
              <w:pStyle w:val="ConsPlusNormal"/>
              <w:jc w:val="center"/>
            </w:pPr>
            <w:r>
              <w:t>8</w:t>
            </w:r>
          </w:p>
        </w:tc>
        <w:tc>
          <w:tcPr>
            <w:tcW w:w="1247" w:type="dxa"/>
          </w:tcPr>
          <w:p w:rsidR="00412DFA" w:rsidRDefault="00412DFA">
            <w:pPr>
              <w:pStyle w:val="ConsPlusNormal"/>
              <w:jc w:val="center"/>
            </w:pPr>
            <w:r>
              <w:t>9</w:t>
            </w:r>
          </w:p>
        </w:tc>
        <w:tc>
          <w:tcPr>
            <w:tcW w:w="850" w:type="dxa"/>
            <w:tcBorders>
              <w:right w:val="nil"/>
            </w:tcBorders>
          </w:tcPr>
          <w:p w:rsidR="00412DFA" w:rsidRDefault="00412DFA">
            <w:pPr>
              <w:pStyle w:val="ConsPlusNormal"/>
              <w:jc w:val="center"/>
            </w:pPr>
            <w:r>
              <w:t>10</w:t>
            </w:r>
          </w:p>
        </w:tc>
      </w:tr>
      <w:tr w:rsidR="00412DFA">
        <w:tc>
          <w:tcPr>
            <w:tcW w:w="624" w:type="dxa"/>
          </w:tcPr>
          <w:p w:rsidR="00412DFA" w:rsidRDefault="00412DFA">
            <w:pPr>
              <w:pStyle w:val="ConsPlusNormal"/>
            </w:pPr>
          </w:p>
        </w:tc>
        <w:tc>
          <w:tcPr>
            <w:tcW w:w="907" w:type="dxa"/>
          </w:tcPr>
          <w:p w:rsidR="00412DFA" w:rsidRDefault="00412DFA">
            <w:pPr>
              <w:pStyle w:val="ConsPlusNormal"/>
            </w:pPr>
          </w:p>
        </w:tc>
        <w:tc>
          <w:tcPr>
            <w:tcW w:w="1361" w:type="dxa"/>
          </w:tcPr>
          <w:p w:rsidR="00412DFA" w:rsidRDefault="00412DFA">
            <w:pPr>
              <w:pStyle w:val="ConsPlusNormal"/>
            </w:pPr>
          </w:p>
        </w:tc>
        <w:tc>
          <w:tcPr>
            <w:tcW w:w="624" w:type="dxa"/>
          </w:tcPr>
          <w:p w:rsidR="00412DFA" w:rsidRDefault="00412DFA">
            <w:pPr>
              <w:pStyle w:val="ConsPlusNormal"/>
            </w:pPr>
          </w:p>
        </w:tc>
        <w:tc>
          <w:tcPr>
            <w:tcW w:w="680" w:type="dxa"/>
            <w:vAlign w:val="bottom"/>
          </w:tcPr>
          <w:p w:rsidR="00412DFA" w:rsidRDefault="00412DFA">
            <w:pPr>
              <w:pStyle w:val="ConsPlusNormal"/>
              <w:jc w:val="center"/>
            </w:pPr>
            <w:r>
              <w:t>1</w:t>
            </w:r>
          </w:p>
        </w:tc>
        <w:tc>
          <w:tcPr>
            <w:tcW w:w="567" w:type="dxa"/>
          </w:tcPr>
          <w:p w:rsidR="00412DFA" w:rsidRDefault="00412DFA">
            <w:pPr>
              <w:pStyle w:val="ConsPlusNormal"/>
            </w:pPr>
          </w:p>
        </w:tc>
        <w:tc>
          <w:tcPr>
            <w:tcW w:w="680" w:type="dxa"/>
          </w:tcPr>
          <w:p w:rsidR="00412DFA" w:rsidRDefault="00412DFA">
            <w:pPr>
              <w:pStyle w:val="ConsPlusNormal"/>
            </w:pPr>
          </w:p>
        </w:tc>
        <w:tc>
          <w:tcPr>
            <w:tcW w:w="624" w:type="dxa"/>
          </w:tcPr>
          <w:p w:rsidR="00412DFA" w:rsidRDefault="00412DFA">
            <w:pPr>
              <w:pStyle w:val="ConsPlusNormal"/>
            </w:pPr>
          </w:p>
        </w:tc>
        <w:tc>
          <w:tcPr>
            <w:tcW w:w="454" w:type="dxa"/>
          </w:tcPr>
          <w:p w:rsidR="00412DFA" w:rsidRDefault="00412DFA">
            <w:pPr>
              <w:pStyle w:val="ConsPlusNormal"/>
            </w:pPr>
          </w:p>
        </w:tc>
        <w:tc>
          <w:tcPr>
            <w:tcW w:w="624" w:type="dxa"/>
          </w:tcPr>
          <w:p w:rsidR="00412DFA" w:rsidRDefault="00412DFA">
            <w:pPr>
              <w:pStyle w:val="ConsPlusNormal"/>
            </w:pPr>
          </w:p>
        </w:tc>
        <w:tc>
          <w:tcPr>
            <w:tcW w:w="624" w:type="dxa"/>
          </w:tcPr>
          <w:p w:rsidR="00412DFA" w:rsidRDefault="00412DFA">
            <w:pPr>
              <w:pStyle w:val="ConsPlusNormal"/>
            </w:pPr>
          </w:p>
        </w:tc>
        <w:tc>
          <w:tcPr>
            <w:tcW w:w="1286" w:type="dxa"/>
          </w:tcPr>
          <w:p w:rsidR="00412DFA" w:rsidRDefault="00412DFA">
            <w:pPr>
              <w:pStyle w:val="ConsPlusNormal"/>
            </w:pPr>
          </w:p>
        </w:tc>
        <w:tc>
          <w:tcPr>
            <w:tcW w:w="1291" w:type="dxa"/>
          </w:tcPr>
          <w:p w:rsidR="00412DFA" w:rsidRDefault="00412DFA">
            <w:pPr>
              <w:pStyle w:val="ConsPlusNormal"/>
            </w:pPr>
          </w:p>
        </w:tc>
        <w:tc>
          <w:tcPr>
            <w:tcW w:w="1579" w:type="dxa"/>
          </w:tcPr>
          <w:p w:rsidR="00412DFA" w:rsidRDefault="00412DFA">
            <w:pPr>
              <w:pStyle w:val="ConsPlusNormal"/>
            </w:pPr>
          </w:p>
        </w:tc>
        <w:tc>
          <w:tcPr>
            <w:tcW w:w="1531" w:type="dxa"/>
          </w:tcPr>
          <w:p w:rsidR="00412DFA" w:rsidRDefault="00412DFA">
            <w:pPr>
              <w:pStyle w:val="ConsPlusNormal"/>
            </w:pPr>
          </w:p>
        </w:tc>
        <w:tc>
          <w:tcPr>
            <w:tcW w:w="2268" w:type="dxa"/>
          </w:tcPr>
          <w:p w:rsidR="00412DFA" w:rsidRDefault="00412DFA">
            <w:pPr>
              <w:pStyle w:val="ConsPlusNormal"/>
            </w:pPr>
          </w:p>
        </w:tc>
        <w:tc>
          <w:tcPr>
            <w:tcW w:w="1247" w:type="dxa"/>
          </w:tcPr>
          <w:p w:rsidR="00412DFA" w:rsidRDefault="00412DFA">
            <w:pPr>
              <w:pStyle w:val="ConsPlusNormal"/>
            </w:pPr>
          </w:p>
        </w:tc>
        <w:tc>
          <w:tcPr>
            <w:tcW w:w="850" w:type="dxa"/>
            <w:tcBorders>
              <w:right w:val="nil"/>
            </w:tcBorders>
          </w:tcPr>
          <w:p w:rsidR="00412DFA" w:rsidRDefault="00412DFA">
            <w:pPr>
              <w:pStyle w:val="ConsPlusNormal"/>
            </w:pPr>
          </w:p>
        </w:tc>
      </w:tr>
      <w:tr w:rsidR="00412DFA">
        <w:tc>
          <w:tcPr>
            <w:tcW w:w="624" w:type="dxa"/>
          </w:tcPr>
          <w:p w:rsidR="00412DFA" w:rsidRDefault="00412DFA">
            <w:pPr>
              <w:pStyle w:val="ConsPlusNormal"/>
            </w:pPr>
          </w:p>
        </w:tc>
        <w:tc>
          <w:tcPr>
            <w:tcW w:w="907" w:type="dxa"/>
          </w:tcPr>
          <w:p w:rsidR="00412DFA" w:rsidRDefault="00412DFA">
            <w:pPr>
              <w:pStyle w:val="ConsPlusNormal"/>
            </w:pPr>
          </w:p>
        </w:tc>
        <w:tc>
          <w:tcPr>
            <w:tcW w:w="1361" w:type="dxa"/>
          </w:tcPr>
          <w:p w:rsidR="00412DFA" w:rsidRDefault="00412DFA">
            <w:pPr>
              <w:pStyle w:val="ConsPlusNormal"/>
            </w:pPr>
          </w:p>
        </w:tc>
        <w:tc>
          <w:tcPr>
            <w:tcW w:w="624" w:type="dxa"/>
          </w:tcPr>
          <w:p w:rsidR="00412DFA" w:rsidRDefault="00412DFA">
            <w:pPr>
              <w:pStyle w:val="ConsPlusNormal"/>
            </w:pPr>
          </w:p>
        </w:tc>
        <w:tc>
          <w:tcPr>
            <w:tcW w:w="680" w:type="dxa"/>
            <w:vAlign w:val="bottom"/>
          </w:tcPr>
          <w:p w:rsidR="00412DFA" w:rsidRDefault="00412DFA">
            <w:pPr>
              <w:pStyle w:val="ConsPlusNormal"/>
              <w:jc w:val="center"/>
            </w:pPr>
            <w:r>
              <w:t>2</w:t>
            </w:r>
          </w:p>
        </w:tc>
        <w:tc>
          <w:tcPr>
            <w:tcW w:w="567" w:type="dxa"/>
          </w:tcPr>
          <w:p w:rsidR="00412DFA" w:rsidRDefault="00412DFA">
            <w:pPr>
              <w:pStyle w:val="ConsPlusNormal"/>
            </w:pPr>
          </w:p>
        </w:tc>
        <w:tc>
          <w:tcPr>
            <w:tcW w:w="680" w:type="dxa"/>
          </w:tcPr>
          <w:p w:rsidR="00412DFA" w:rsidRDefault="00412DFA">
            <w:pPr>
              <w:pStyle w:val="ConsPlusNormal"/>
            </w:pPr>
          </w:p>
        </w:tc>
        <w:tc>
          <w:tcPr>
            <w:tcW w:w="624" w:type="dxa"/>
          </w:tcPr>
          <w:p w:rsidR="00412DFA" w:rsidRDefault="00412DFA">
            <w:pPr>
              <w:pStyle w:val="ConsPlusNormal"/>
            </w:pPr>
          </w:p>
        </w:tc>
        <w:tc>
          <w:tcPr>
            <w:tcW w:w="454" w:type="dxa"/>
          </w:tcPr>
          <w:p w:rsidR="00412DFA" w:rsidRDefault="00412DFA">
            <w:pPr>
              <w:pStyle w:val="ConsPlusNormal"/>
            </w:pPr>
          </w:p>
        </w:tc>
        <w:tc>
          <w:tcPr>
            <w:tcW w:w="624" w:type="dxa"/>
          </w:tcPr>
          <w:p w:rsidR="00412DFA" w:rsidRDefault="00412DFA">
            <w:pPr>
              <w:pStyle w:val="ConsPlusNormal"/>
            </w:pPr>
          </w:p>
        </w:tc>
        <w:tc>
          <w:tcPr>
            <w:tcW w:w="624" w:type="dxa"/>
          </w:tcPr>
          <w:p w:rsidR="00412DFA" w:rsidRDefault="00412DFA">
            <w:pPr>
              <w:pStyle w:val="ConsPlusNormal"/>
            </w:pPr>
          </w:p>
        </w:tc>
        <w:tc>
          <w:tcPr>
            <w:tcW w:w="1286" w:type="dxa"/>
          </w:tcPr>
          <w:p w:rsidR="00412DFA" w:rsidRDefault="00412DFA">
            <w:pPr>
              <w:pStyle w:val="ConsPlusNormal"/>
            </w:pPr>
          </w:p>
        </w:tc>
        <w:tc>
          <w:tcPr>
            <w:tcW w:w="1291" w:type="dxa"/>
          </w:tcPr>
          <w:p w:rsidR="00412DFA" w:rsidRDefault="00412DFA">
            <w:pPr>
              <w:pStyle w:val="ConsPlusNormal"/>
            </w:pPr>
          </w:p>
        </w:tc>
        <w:tc>
          <w:tcPr>
            <w:tcW w:w="1579" w:type="dxa"/>
          </w:tcPr>
          <w:p w:rsidR="00412DFA" w:rsidRDefault="00412DFA">
            <w:pPr>
              <w:pStyle w:val="ConsPlusNormal"/>
            </w:pPr>
          </w:p>
        </w:tc>
        <w:tc>
          <w:tcPr>
            <w:tcW w:w="1531" w:type="dxa"/>
          </w:tcPr>
          <w:p w:rsidR="00412DFA" w:rsidRDefault="00412DFA">
            <w:pPr>
              <w:pStyle w:val="ConsPlusNormal"/>
            </w:pPr>
          </w:p>
        </w:tc>
        <w:tc>
          <w:tcPr>
            <w:tcW w:w="2268" w:type="dxa"/>
          </w:tcPr>
          <w:p w:rsidR="00412DFA" w:rsidRDefault="00412DFA">
            <w:pPr>
              <w:pStyle w:val="ConsPlusNormal"/>
            </w:pPr>
          </w:p>
        </w:tc>
        <w:tc>
          <w:tcPr>
            <w:tcW w:w="1247" w:type="dxa"/>
          </w:tcPr>
          <w:p w:rsidR="00412DFA" w:rsidRDefault="00412DFA">
            <w:pPr>
              <w:pStyle w:val="ConsPlusNormal"/>
            </w:pPr>
          </w:p>
        </w:tc>
        <w:tc>
          <w:tcPr>
            <w:tcW w:w="850" w:type="dxa"/>
            <w:tcBorders>
              <w:right w:val="nil"/>
            </w:tcBorders>
          </w:tcPr>
          <w:p w:rsidR="00412DFA" w:rsidRDefault="00412DFA">
            <w:pPr>
              <w:pStyle w:val="ConsPlusNormal"/>
            </w:pPr>
          </w:p>
        </w:tc>
      </w:tr>
      <w:tr w:rsidR="00412DFA">
        <w:tc>
          <w:tcPr>
            <w:tcW w:w="624" w:type="dxa"/>
          </w:tcPr>
          <w:p w:rsidR="00412DFA" w:rsidRDefault="00412DFA">
            <w:pPr>
              <w:pStyle w:val="ConsPlusNormal"/>
            </w:pPr>
          </w:p>
        </w:tc>
        <w:tc>
          <w:tcPr>
            <w:tcW w:w="907" w:type="dxa"/>
          </w:tcPr>
          <w:p w:rsidR="00412DFA" w:rsidRDefault="00412DFA">
            <w:pPr>
              <w:pStyle w:val="ConsPlusNormal"/>
            </w:pPr>
          </w:p>
        </w:tc>
        <w:tc>
          <w:tcPr>
            <w:tcW w:w="1361" w:type="dxa"/>
          </w:tcPr>
          <w:p w:rsidR="00412DFA" w:rsidRDefault="00412DFA">
            <w:pPr>
              <w:pStyle w:val="ConsPlusNormal"/>
            </w:pPr>
          </w:p>
        </w:tc>
        <w:tc>
          <w:tcPr>
            <w:tcW w:w="624" w:type="dxa"/>
          </w:tcPr>
          <w:p w:rsidR="00412DFA" w:rsidRDefault="00412DFA">
            <w:pPr>
              <w:pStyle w:val="ConsPlusNormal"/>
            </w:pPr>
          </w:p>
        </w:tc>
        <w:tc>
          <w:tcPr>
            <w:tcW w:w="680" w:type="dxa"/>
            <w:vAlign w:val="center"/>
          </w:tcPr>
          <w:p w:rsidR="00412DFA" w:rsidRDefault="00412DFA">
            <w:pPr>
              <w:pStyle w:val="ConsPlusNormal"/>
              <w:jc w:val="center"/>
            </w:pPr>
            <w:r>
              <w:t>3</w:t>
            </w:r>
          </w:p>
        </w:tc>
        <w:tc>
          <w:tcPr>
            <w:tcW w:w="567" w:type="dxa"/>
          </w:tcPr>
          <w:p w:rsidR="00412DFA" w:rsidRDefault="00412DFA">
            <w:pPr>
              <w:pStyle w:val="ConsPlusNormal"/>
            </w:pPr>
          </w:p>
        </w:tc>
        <w:tc>
          <w:tcPr>
            <w:tcW w:w="680" w:type="dxa"/>
          </w:tcPr>
          <w:p w:rsidR="00412DFA" w:rsidRDefault="00412DFA">
            <w:pPr>
              <w:pStyle w:val="ConsPlusNormal"/>
            </w:pPr>
          </w:p>
        </w:tc>
        <w:tc>
          <w:tcPr>
            <w:tcW w:w="624" w:type="dxa"/>
          </w:tcPr>
          <w:p w:rsidR="00412DFA" w:rsidRDefault="00412DFA">
            <w:pPr>
              <w:pStyle w:val="ConsPlusNormal"/>
            </w:pPr>
          </w:p>
        </w:tc>
        <w:tc>
          <w:tcPr>
            <w:tcW w:w="454" w:type="dxa"/>
          </w:tcPr>
          <w:p w:rsidR="00412DFA" w:rsidRDefault="00412DFA">
            <w:pPr>
              <w:pStyle w:val="ConsPlusNormal"/>
            </w:pPr>
          </w:p>
        </w:tc>
        <w:tc>
          <w:tcPr>
            <w:tcW w:w="624" w:type="dxa"/>
          </w:tcPr>
          <w:p w:rsidR="00412DFA" w:rsidRDefault="00412DFA">
            <w:pPr>
              <w:pStyle w:val="ConsPlusNormal"/>
            </w:pPr>
          </w:p>
        </w:tc>
        <w:tc>
          <w:tcPr>
            <w:tcW w:w="624" w:type="dxa"/>
          </w:tcPr>
          <w:p w:rsidR="00412DFA" w:rsidRDefault="00412DFA">
            <w:pPr>
              <w:pStyle w:val="ConsPlusNormal"/>
            </w:pPr>
          </w:p>
        </w:tc>
        <w:tc>
          <w:tcPr>
            <w:tcW w:w="1286" w:type="dxa"/>
          </w:tcPr>
          <w:p w:rsidR="00412DFA" w:rsidRDefault="00412DFA">
            <w:pPr>
              <w:pStyle w:val="ConsPlusNormal"/>
            </w:pPr>
          </w:p>
        </w:tc>
        <w:tc>
          <w:tcPr>
            <w:tcW w:w="1291" w:type="dxa"/>
          </w:tcPr>
          <w:p w:rsidR="00412DFA" w:rsidRDefault="00412DFA">
            <w:pPr>
              <w:pStyle w:val="ConsPlusNormal"/>
            </w:pPr>
          </w:p>
        </w:tc>
        <w:tc>
          <w:tcPr>
            <w:tcW w:w="1579" w:type="dxa"/>
          </w:tcPr>
          <w:p w:rsidR="00412DFA" w:rsidRDefault="00412DFA">
            <w:pPr>
              <w:pStyle w:val="ConsPlusNormal"/>
            </w:pPr>
          </w:p>
        </w:tc>
        <w:tc>
          <w:tcPr>
            <w:tcW w:w="1531" w:type="dxa"/>
          </w:tcPr>
          <w:p w:rsidR="00412DFA" w:rsidRDefault="00412DFA">
            <w:pPr>
              <w:pStyle w:val="ConsPlusNormal"/>
            </w:pPr>
          </w:p>
        </w:tc>
        <w:tc>
          <w:tcPr>
            <w:tcW w:w="2268" w:type="dxa"/>
          </w:tcPr>
          <w:p w:rsidR="00412DFA" w:rsidRDefault="00412DFA">
            <w:pPr>
              <w:pStyle w:val="ConsPlusNormal"/>
            </w:pPr>
          </w:p>
        </w:tc>
        <w:tc>
          <w:tcPr>
            <w:tcW w:w="1247" w:type="dxa"/>
          </w:tcPr>
          <w:p w:rsidR="00412DFA" w:rsidRDefault="00412DFA">
            <w:pPr>
              <w:pStyle w:val="ConsPlusNormal"/>
            </w:pPr>
          </w:p>
        </w:tc>
        <w:tc>
          <w:tcPr>
            <w:tcW w:w="850" w:type="dxa"/>
            <w:tcBorders>
              <w:right w:val="nil"/>
            </w:tcBorders>
          </w:tcPr>
          <w:p w:rsidR="00412DFA" w:rsidRDefault="00412DFA">
            <w:pPr>
              <w:pStyle w:val="ConsPlusNormal"/>
            </w:pPr>
          </w:p>
        </w:tc>
      </w:tr>
      <w:tr w:rsidR="00412DFA">
        <w:tc>
          <w:tcPr>
            <w:tcW w:w="624" w:type="dxa"/>
          </w:tcPr>
          <w:p w:rsidR="00412DFA" w:rsidRDefault="00412DFA">
            <w:pPr>
              <w:pStyle w:val="ConsPlusNormal"/>
            </w:pPr>
          </w:p>
        </w:tc>
        <w:tc>
          <w:tcPr>
            <w:tcW w:w="907" w:type="dxa"/>
          </w:tcPr>
          <w:p w:rsidR="00412DFA" w:rsidRDefault="00412DFA">
            <w:pPr>
              <w:pStyle w:val="ConsPlusNormal"/>
            </w:pPr>
          </w:p>
        </w:tc>
        <w:tc>
          <w:tcPr>
            <w:tcW w:w="1361" w:type="dxa"/>
          </w:tcPr>
          <w:p w:rsidR="00412DFA" w:rsidRDefault="00412DFA">
            <w:pPr>
              <w:pStyle w:val="ConsPlusNormal"/>
            </w:pPr>
          </w:p>
        </w:tc>
        <w:tc>
          <w:tcPr>
            <w:tcW w:w="624" w:type="dxa"/>
          </w:tcPr>
          <w:p w:rsidR="00412DFA" w:rsidRDefault="00412DFA">
            <w:pPr>
              <w:pStyle w:val="ConsPlusNormal"/>
            </w:pPr>
          </w:p>
        </w:tc>
        <w:tc>
          <w:tcPr>
            <w:tcW w:w="680" w:type="dxa"/>
            <w:vAlign w:val="center"/>
          </w:tcPr>
          <w:p w:rsidR="00412DFA" w:rsidRDefault="00412DFA">
            <w:pPr>
              <w:pStyle w:val="ConsPlusNormal"/>
              <w:jc w:val="center"/>
            </w:pPr>
            <w:r>
              <w:t>4</w:t>
            </w:r>
          </w:p>
        </w:tc>
        <w:tc>
          <w:tcPr>
            <w:tcW w:w="567" w:type="dxa"/>
          </w:tcPr>
          <w:p w:rsidR="00412DFA" w:rsidRDefault="00412DFA">
            <w:pPr>
              <w:pStyle w:val="ConsPlusNormal"/>
            </w:pPr>
          </w:p>
        </w:tc>
        <w:tc>
          <w:tcPr>
            <w:tcW w:w="680" w:type="dxa"/>
          </w:tcPr>
          <w:p w:rsidR="00412DFA" w:rsidRDefault="00412DFA">
            <w:pPr>
              <w:pStyle w:val="ConsPlusNormal"/>
            </w:pPr>
          </w:p>
        </w:tc>
        <w:tc>
          <w:tcPr>
            <w:tcW w:w="624" w:type="dxa"/>
          </w:tcPr>
          <w:p w:rsidR="00412DFA" w:rsidRDefault="00412DFA">
            <w:pPr>
              <w:pStyle w:val="ConsPlusNormal"/>
            </w:pPr>
          </w:p>
        </w:tc>
        <w:tc>
          <w:tcPr>
            <w:tcW w:w="454" w:type="dxa"/>
          </w:tcPr>
          <w:p w:rsidR="00412DFA" w:rsidRDefault="00412DFA">
            <w:pPr>
              <w:pStyle w:val="ConsPlusNormal"/>
            </w:pPr>
          </w:p>
        </w:tc>
        <w:tc>
          <w:tcPr>
            <w:tcW w:w="624" w:type="dxa"/>
          </w:tcPr>
          <w:p w:rsidR="00412DFA" w:rsidRDefault="00412DFA">
            <w:pPr>
              <w:pStyle w:val="ConsPlusNormal"/>
            </w:pPr>
          </w:p>
        </w:tc>
        <w:tc>
          <w:tcPr>
            <w:tcW w:w="624" w:type="dxa"/>
          </w:tcPr>
          <w:p w:rsidR="00412DFA" w:rsidRDefault="00412DFA">
            <w:pPr>
              <w:pStyle w:val="ConsPlusNormal"/>
            </w:pPr>
          </w:p>
        </w:tc>
        <w:tc>
          <w:tcPr>
            <w:tcW w:w="1286" w:type="dxa"/>
          </w:tcPr>
          <w:p w:rsidR="00412DFA" w:rsidRDefault="00412DFA">
            <w:pPr>
              <w:pStyle w:val="ConsPlusNormal"/>
            </w:pPr>
          </w:p>
        </w:tc>
        <w:tc>
          <w:tcPr>
            <w:tcW w:w="1291" w:type="dxa"/>
          </w:tcPr>
          <w:p w:rsidR="00412DFA" w:rsidRDefault="00412DFA">
            <w:pPr>
              <w:pStyle w:val="ConsPlusNormal"/>
            </w:pPr>
          </w:p>
        </w:tc>
        <w:tc>
          <w:tcPr>
            <w:tcW w:w="1579" w:type="dxa"/>
          </w:tcPr>
          <w:p w:rsidR="00412DFA" w:rsidRDefault="00412DFA">
            <w:pPr>
              <w:pStyle w:val="ConsPlusNormal"/>
            </w:pPr>
          </w:p>
        </w:tc>
        <w:tc>
          <w:tcPr>
            <w:tcW w:w="1531" w:type="dxa"/>
          </w:tcPr>
          <w:p w:rsidR="00412DFA" w:rsidRDefault="00412DFA">
            <w:pPr>
              <w:pStyle w:val="ConsPlusNormal"/>
            </w:pPr>
          </w:p>
        </w:tc>
        <w:tc>
          <w:tcPr>
            <w:tcW w:w="2268" w:type="dxa"/>
          </w:tcPr>
          <w:p w:rsidR="00412DFA" w:rsidRDefault="00412DFA">
            <w:pPr>
              <w:pStyle w:val="ConsPlusNormal"/>
            </w:pPr>
          </w:p>
        </w:tc>
        <w:tc>
          <w:tcPr>
            <w:tcW w:w="1247" w:type="dxa"/>
          </w:tcPr>
          <w:p w:rsidR="00412DFA" w:rsidRDefault="00412DFA">
            <w:pPr>
              <w:pStyle w:val="ConsPlusNormal"/>
            </w:pPr>
          </w:p>
        </w:tc>
        <w:tc>
          <w:tcPr>
            <w:tcW w:w="850" w:type="dxa"/>
            <w:tcBorders>
              <w:right w:val="nil"/>
            </w:tcBorders>
          </w:tcPr>
          <w:p w:rsidR="00412DFA" w:rsidRDefault="00412DFA">
            <w:pPr>
              <w:pStyle w:val="ConsPlusNormal"/>
            </w:pPr>
          </w:p>
        </w:tc>
      </w:tr>
      <w:tr w:rsidR="00412DFA">
        <w:tc>
          <w:tcPr>
            <w:tcW w:w="624" w:type="dxa"/>
          </w:tcPr>
          <w:p w:rsidR="00412DFA" w:rsidRDefault="00412DFA">
            <w:pPr>
              <w:pStyle w:val="ConsPlusNormal"/>
            </w:pPr>
          </w:p>
        </w:tc>
        <w:tc>
          <w:tcPr>
            <w:tcW w:w="907" w:type="dxa"/>
          </w:tcPr>
          <w:p w:rsidR="00412DFA" w:rsidRDefault="00412DFA">
            <w:pPr>
              <w:pStyle w:val="ConsPlusNormal"/>
            </w:pPr>
          </w:p>
        </w:tc>
        <w:tc>
          <w:tcPr>
            <w:tcW w:w="1361" w:type="dxa"/>
          </w:tcPr>
          <w:p w:rsidR="00412DFA" w:rsidRDefault="00412DFA">
            <w:pPr>
              <w:pStyle w:val="ConsPlusNormal"/>
            </w:pPr>
          </w:p>
        </w:tc>
        <w:tc>
          <w:tcPr>
            <w:tcW w:w="624" w:type="dxa"/>
          </w:tcPr>
          <w:p w:rsidR="00412DFA" w:rsidRDefault="00412DFA">
            <w:pPr>
              <w:pStyle w:val="ConsPlusNormal"/>
            </w:pPr>
          </w:p>
        </w:tc>
        <w:tc>
          <w:tcPr>
            <w:tcW w:w="680" w:type="dxa"/>
          </w:tcPr>
          <w:p w:rsidR="00412DFA" w:rsidRDefault="00412DFA">
            <w:pPr>
              <w:pStyle w:val="ConsPlusNormal"/>
              <w:jc w:val="center"/>
            </w:pPr>
            <w:r>
              <w:t>5</w:t>
            </w:r>
          </w:p>
        </w:tc>
        <w:tc>
          <w:tcPr>
            <w:tcW w:w="567" w:type="dxa"/>
          </w:tcPr>
          <w:p w:rsidR="00412DFA" w:rsidRDefault="00412DFA">
            <w:pPr>
              <w:pStyle w:val="ConsPlusNormal"/>
            </w:pPr>
          </w:p>
        </w:tc>
        <w:tc>
          <w:tcPr>
            <w:tcW w:w="680" w:type="dxa"/>
          </w:tcPr>
          <w:p w:rsidR="00412DFA" w:rsidRDefault="00412DFA">
            <w:pPr>
              <w:pStyle w:val="ConsPlusNormal"/>
            </w:pPr>
          </w:p>
        </w:tc>
        <w:tc>
          <w:tcPr>
            <w:tcW w:w="624" w:type="dxa"/>
          </w:tcPr>
          <w:p w:rsidR="00412DFA" w:rsidRDefault="00412DFA">
            <w:pPr>
              <w:pStyle w:val="ConsPlusNormal"/>
            </w:pPr>
          </w:p>
        </w:tc>
        <w:tc>
          <w:tcPr>
            <w:tcW w:w="454" w:type="dxa"/>
          </w:tcPr>
          <w:p w:rsidR="00412DFA" w:rsidRDefault="00412DFA">
            <w:pPr>
              <w:pStyle w:val="ConsPlusNormal"/>
            </w:pPr>
          </w:p>
        </w:tc>
        <w:tc>
          <w:tcPr>
            <w:tcW w:w="624" w:type="dxa"/>
          </w:tcPr>
          <w:p w:rsidR="00412DFA" w:rsidRDefault="00412DFA">
            <w:pPr>
              <w:pStyle w:val="ConsPlusNormal"/>
            </w:pPr>
          </w:p>
        </w:tc>
        <w:tc>
          <w:tcPr>
            <w:tcW w:w="624" w:type="dxa"/>
          </w:tcPr>
          <w:p w:rsidR="00412DFA" w:rsidRDefault="00412DFA">
            <w:pPr>
              <w:pStyle w:val="ConsPlusNormal"/>
            </w:pPr>
          </w:p>
        </w:tc>
        <w:tc>
          <w:tcPr>
            <w:tcW w:w="1286" w:type="dxa"/>
          </w:tcPr>
          <w:p w:rsidR="00412DFA" w:rsidRDefault="00412DFA">
            <w:pPr>
              <w:pStyle w:val="ConsPlusNormal"/>
            </w:pPr>
          </w:p>
        </w:tc>
        <w:tc>
          <w:tcPr>
            <w:tcW w:w="1291" w:type="dxa"/>
          </w:tcPr>
          <w:p w:rsidR="00412DFA" w:rsidRDefault="00412DFA">
            <w:pPr>
              <w:pStyle w:val="ConsPlusNormal"/>
            </w:pPr>
          </w:p>
        </w:tc>
        <w:tc>
          <w:tcPr>
            <w:tcW w:w="1579" w:type="dxa"/>
          </w:tcPr>
          <w:p w:rsidR="00412DFA" w:rsidRDefault="00412DFA">
            <w:pPr>
              <w:pStyle w:val="ConsPlusNormal"/>
            </w:pPr>
          </w:p>
        </w:tc>
        <w:tc>
          <w:tcPr>
            <w:tcW w:w="1531" w:type="dxa"/>
          </w:tcPr>
          <w:p w:rsidR="00412DFA" w:rsidRDefault="00412DFA">
            <w:pPr>
              <w:pStyle w:val="ConsPlusNormal"/>
            </w:pPr>
          </w:p>
        </w:tc>
        <w:tc>
          <w:tcPr>
            <w:tcW w:w="2268" w:type="dxa"/>
          </w:tcPr>
          <w:p w:rsidR="00412DFA" w:rsidRDefault="00412DFA">
            <w:pPr>
              <w:pStyle w:val="ConsPlusNormal"/>
            </w:pPr>
          </w:p>
        </w:tc>
        <w:tc>
          <w:tcPr>
            <w:tcW w:w="1247" w:type="dxa"/>
          </w:tcPr>
          <w:p w:rsidR="00412DFA" w:rsidRDefault="00412DFA">
            <w:pPr>
              <w:pStyle w:val="ConsPlusNormal"/>
            </w:pPr>
          </w:p>
        </w:tc>
        <w:tc>
          <w:tcPr>
            <w:tcW w:w="850" w:type="dxa"/>
            <w:tcBorders>
              <w:right w:val="nil"/>
            </w:tcBorders>
          </w:tcPr>
          <w:p w:rsidR="00412DFA" w:rsidRDefault="00412DFA">
            <w:pPr>
              <w:pStyle w:val="ConsPlusNormal"/>
            </w:pPr>
          </w:p>
        </w:tc>
      </w:tr>
    </w:tbl>
    <w:p w:rsidR="00412DFA" w:rsidRDefault="00412DFA">
      <w:pPr>
        <w:sectPr w:rsidR="00412DFA">
          <w:pgSz w:w="16838" w:h="11905" w:orient="landscape"/>
          <w:pgMar w:top="1701" w:right="1134" w:bottom="850" w:left="1134" w:header="0" w:footer="0" w:gutter="0"/>
          <w:cols w:space="720"/>
        </w:sectPr>
      </w:pPr>
    </w:p>
    <w:p w:rsidR="00412DFA" w:rsidRDefault="00412DFA">
      <w:pPr>
        <w:pStyle w:val="ConsPlusNormal"/>
        <w:jc w:val="both"/>
      </w:pPr>
    </w:p>
    <w:p w:rsidR="00412DFA" w:rsidRDefault="00412DFA">
      <w:pPr>
        <w:pStyle w:val="ConsPlusNormal"/>
        <w:ind w:firstLine="540"/>
        <w:jc w:val="both"/>
      </w:pPr>
      <w:r>
        <w:t>--------------------------------</w:t>
      </w:r>
    </w:p>
    <w:p w:rsidR="00412DFA" w:rsidRDefault="00412DFA">
      <w:pPr>
        <w:pStyle w:val="ConsPlusNormal"/>
        <w:spacing w:before="220"/>
        <w:ind w:firstLine="540"/>
        <w:jc w:val="both"/>
      </w:pPr>
      <w:bookmarkStart w:id="15" w:name="P271"/>
      <w:bookmarkEnd w:id="15"/>
      <w:r>
        <w:t>&lt;*&gt; ОПИ - общераспространенное полезное ископаемое</w:t>
      </w:r>
    </w:p>
    <w:p w:rsidR="00412DFA" w:rsidRDefault="00412DFA">
      <w:pPr>
        <w:pStyle w:val="ConsPlusNormal"/>
        <w:jc w:val="both"/>
      </w:pPr>
    </w:p>
    <w:tbl>
      <w:tblPr>
        <w:tblW w:w="0" w:type="auto"/>
        <w:tblLayout w:type="fixed"/>
        <w:tblCellMar>
          <w:top w:w="102" w:type="dxa"/>
          <w:left w:w="62" w:type="dxa"/>
          <w:bottom w:w="102" w:type="dxa"/>
          <w:right w:w="62" w:type="dxa"/>
        </w:tblCellMar>
        <w:tblLook w:val="0000"/>
      </w:tblPr>
      <w:tblGrid>
        <w:gridCol w:w="510"/>
        <w:gridCol w:w="4230"/>
        <w:gridCol w:w="668"/>
        <w:gridCol w:w="3628"/>
      </w:tblGrid>
      <w:tr w:rsidR="00412DFA">
        <w:tc>
          <w:tcPr>
            <w:tcW w:w="510" w:type="dxa"/>
            <w:tcBorders>
              <w:top w:val="nil"/>
              <w:left w:val="nil"/>
              <w:bottom w:val="nil"/>
              <w:right w:val="nil"/>
            </w:tcBorders>
          </w:tcPr>
          <w:p w:rsidR="00412DFA" w:rsidRDefault="00412DFA">
            <w:pPr>
              <w:pStyle w:val="ConsPlusNormal"/>
            </w:pPr>
          </w:p>
        </w:tc>
        <w:tc>
          <w:tcPr>
            <w:tcW w:w="4230" w:type="dxa"/>
            <w:vMerge w:val="restart"/>
            <w:tcBorders>
              <w:top w:val="nil"/>
              <w:left w:val="nil"/>
              <w:bottom w:val="nil"/>
              <w:right w:val="nil"/>
            </w:tcBorders>
          </w:tcPr>
          <w:p w:rsidR="00412DFA" w:rsidRDefault="00412DFA">
            <w:pPr>
              <w:pStyle w:val="ConsPlusNormal"/>
            </w:pPr>
            <w:r>
              <w:t>Уполномоченный представитель органа государственной власти субъекта Российской Федерации</w:t>
            </w:r>
          </w:p>
        </w:tc>
        <w:tc>
          <w:tcPr>
            <w:tcW w:w="668" w:type="dxa"/>
            <w:tcBorders>
              <w:top w:val="nil"/>
              <w:left w:val="nil"/>
              <w:bottom w:val="nil"/>
              <w:right w:val="nil"/>
            </w:tcBorders>
          </w:tcPr>
          <w:p w:rsidR="00412DFA" w:rsidRDefault="00412DFA">
            <w:pPr>
              <w:pStyle w:val="ConsPlusNormal"/>
            </w:pPr>
          </w:p>
        </w:tc>
        <w:tc>
          <w:tcPr>
            <w:tcW w:w="3628" w:type="dxa"/>
            <w:tcBorders>
              <w:top w:val="nil"/>
              <w:left w:val="nil"/>
              <w:bottom w:val="single" w:sz="4" w:space="0" w:color="auto"/>
              <w:right w:val="nil"/>
            </w:tcBorders>
          </w:tcPr>
          <w:p w:rsidR="00412DFA" w:rsidRDefault="00412DFA">
            <w:pPr>
              <w:pStyle w:val="ConsPlusNormal"/>
            </w:pPr>
          </w:p>
        </w:tc>
      </w:tr>
      <w:tr w:rsidR="00412DFA">
        <w:tc>
          <w:tcPr>
            <w:tcW w:w="510" w:type="dxa"/>
            <w:tcBorders>
              <w:top w:val="nil"/>
              <w:left w:val="nil"/>
              <w:bottom w:val="nil"/>
              <w:right w:val="nil"/>
            </w:tcBorders>
          </w:tcPr>
          <w:p w:rsidR="00412DFA" w:rsidRDefault="00412DFA">
            <w:pPr>
              <w:pStyle w:val="ConsPlusNormal"/>
            </w:pPr>
          </w:p>
        </w:tc>
        <w:tc>
          <w:tcPr>
            <w:tcW w:w="4230" w:type="dxa"/>
            <w:vMerge/>
            <w:tcBorders>
              <w:top w:val="nil"/>
              <w:left w:val="nil"/>
              <w:bottom w:val="nil"/>
              <w:right w:val="nil"/>
            </w:tcBorders>
          </w:tcPr>
          <w:p w:rsidR="00412DFA" w:rsidRDefault="00412DFA">
            <w:pPr>
              <w:spacing w:after="1" w:line="0" w:lineRule="atLeast"/>
            </w:pPr>
          </w:p>
        </w:tc>
        <w:tc>
          <w:tcPr>
            <w:tcW w:w="668" w:type="dxa"/>
            <w:tcBorders>
              <w:top w:val="nil"/>
              <w:left w:val="nil"/>
              <w:bottom w:val="nil"/>
              <w:right w:val="nil"/>
            </w:tcBorders>
          </w:tcPr>
          <w:p w:rsidR="00412DFA" w:rsidRDefault="00412DFA">
            <w:pPr>
              <w:pStyle w:val="ConsPlusNormal"/>
            </w:pPr>
          </w:p>
        </w:tc>
        <w:tc>
          <w:tcPr>
            <w:tcW w:w="3628" w:type="dxa"/>
            <w:tcBorders>
              <w:top w:val="single" w:sz="4" w:space="0" w:color="auto"/>
              <w:left w:val="nil"/>
              <w:bottom w:val="nil"/>
              <w:right w:val="nil"/>
            </w:tcBorders>
          </w:tcPr>
          <w:p w:rsidR="00412DFA" w:rsidRDefault="00412DFA">
            <w:pPr>
              <w:pStyle w:val="ConsPlusNormal"/>
              <w:jc w:val="center"/>
            </w:pPr>
            <w:proofErr w:type="gramStart"/>
            <w:r>
              <w:t>(подпись, печать (при наличии)</w:t>
            </w:r>
            <w:proofErr w:type="gramEnd"/>
          </w:p>
        </w:tc>
      </w:tr>
    </w:tbl>
    <w:p w:rsidR="00412DFA" w:rsidRDefault="00412DFA">
      <w:pPr>
        <w:pStyle w:val="ConsPlusNormal"/>
        <w:jc w:val="both"/>
      </w:pPr>
    </w:p>
    <w:p w:rsidR="00412DFA" w:rsidRDefault="00412DFA">
      <w:pPr>
        <w:pStyle w:val="ConsPlusNormal"/>
        <w:jc w:val="both"/>
      </w:pPr>
    </w:p>
    <w:p w:rsidR="00412DFA" w:rsidRDefault="00412DFA">
      <w:pPr>
        <w:pStyle w:val="ConsPlusNormal"/>
        <w:pBdr>
          <w:top w:val="single" w:sz="6" w:space="0" w:color="auto"/>
        </w:pBdr>
        <w:spacing w:before="100" w:after="100"/>
        <w:jc w:val="both"/>
        <w:rPr>
          <w:sz w:val="2"/>
          <w:szCs w:val="2"/>
        </w:rPr>
      </w:pPr>
    </w:p>
    <w:p w:rsidR="00CA5EB1" w:rsidRDefault="00CA5EB1"/>
    <w:sectPr w:rsidR="00CA5EB1" w:rsidSect="0075535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DFA"/>
    <w:rsid w:val="00412DFA"/>
    <w:rsid w:val="00CA5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D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D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2D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403BC07AE7BEB539A037BDFC20EBC69EBDB019C2D4639635493759B4DCB4D5AA642E1D11556F1985EE0E077MEnEG" TargetMode="External"/><Relationship Id="rId13" Type="http://schemas.openxmlformats.org/officeDocument/2006/relationships/hyperlink" Target="consultantplus://offline/ref=516403BC07AE7BEB539A037BDFC20EBC6BE4DC0D9D254639635493759B4DCB4D48A61AEDD31548F1924BB6B131B916799C152E7DF8BF28ABM7n4G" TargetMode="External"/><Relationship Id="rId18" Type="http://schemas.openxmlformats.org/officeDocument/2006/relationships/hyperlink" Target="consultantplus://offline/ref=516403BC07AE7BEB539A037BDFC20EBC6BEADC0099294639635493759B4DCB4D48A61AEDD31548F8924BB6B131B916799C152E7DF8BF28ABM7n4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16403BC07AE7BEB539A037BDFC20EBC6BE4DA0C922B4639635493759B4DCB4D48A61AEDD31548F1924BB6B131B916799C152E7DF8BF28ABM7n4G" TargetMode="External"/><Relationship Id="rId7" Type="http://schemas.openxmlformats.org/officeDocument/2006/relationships/hyperlink" Target="consultantplus://offline/ref=516403BC07AE7BEB539A037BDFC20EBC69E7D802922E4639635493759B4DCB4D5AA642E1D11556F1985EE0E077MEnEG" TargetMode="External"/><Relationship Id="rId12" Type="http://schemas.openxmlformats.org/officeDocument/2006/relationships/hyperlink" Target="consultantplus://offline/ref=516403BC07AE7BEB539A037BDFC20EBC6BE4DA0C922B4639635493759B4DCB4D48A61AEDD31548F1924BB6B131B916799C152E7DF8BF28ABM7n4G" TargetMode="External"/><Relationship Id="rId17" Type="http://schemas.openxmlformats.org/officeDocument/2006/relationships/hyperlink" Target="consultantplus://offline/ref=516403BC07AE7BEB539A037BDFC20EBC6BEADC0099294639635493759B4DCB4D48A61AEDD31548F8924BB6B131B916799C152E7DF8BF28ABM7n4G" TargetMode="External"/><Relationship Id="rId25" Type="http://schemas.openxmlformats.org/officeDocument/2006/relationships/hyperlink" Target="consultantplus://offline/ref=516403BC07AE7BEB539A037BDFC20EBC6BEADC0099294639635493759B4DCB4D48A61AEBDB1E1CA0DF15EFE275F21B7882092E7CMEn4G" TargetMode="External"/><Relationship Id="rId2" Type="http://schemas.openxmlformats.org/officeDocument/2006/relationships/settings" Target="settings.xml"/><Relationship Id="rId16" Type="http://schemas.openxmlformats.org/officeDocument/2006/relationships/hyperlink" Target="consultantplus://offline/ref=516403BC07AE7BEB539A037BDFC20EBC6BEADC0099294639635493759B4DCB4D48A61AEDD31548F8924BB6B131B916799C152E7DF8BF28ABM7n4G" TargetMode="External"/><Relationship Id="rId20" Type="http://schemas.openxmlformats.org/officeDocument/2006/relationships/hyperlink" Target="consultantplus://offline/ref=516403BC07AE7BEB539A037BDFC20EBC6BEADC0099294639635493759B4DCB4D48A61AEDD31548F8924BB6B131B916799C152E7DF8BF28ABM7n4G" TargetMode="External"/><Relationship Id="rId1" Type="http://schemas.openxmlformats.org/officeDocument/2006/relationships/styles" Target="styles.xml"/><Relationship Id="rId6" Type="http://schemas.openxmlformats.org/officeDocument/2006/relationships/hyperlink" Target="consultantplus://offline/ref=516403BC07AE7BEB539A037BDFC20EBC6BE3DF029C2B4639635493759B4DCB4D5AA642E1D11556F1985EE0E077MEnEG" TargetMode="External"/><Relationship Id="rId11" Type="http://schemas.openxmlformats.org/officeDocument/2006/relationships/hyperlink" Target="consultantplus://offline/ref=516403BC07AE7BEB539A037BDFC20EBC6BEADC0099294639635493759B4DCB4D48A61AE4D21E1CA0DF15EFE275F21B7882092E7CMEn4G" TargetMode="External"/><Relationship Id="rId24" Type="http://schemas.openxmlformats.org/officeDocument/2006/relationships/hyperlink" Target="consultantplus://offline/ref=516403BC07AE7BEB539A037BDFC20EBC69E4D6029C2E4639635493759B4DCB4D5AA642E1D11556F1985EE0E077MEnEG" TargetMode="External"/><Relationship Id="rId5" Type="http://schemas.openxmlformats.org/officeDocument/2006/relationships/hyperlink" Target="consultantplus://offline/ref=516403BC07AE7BEB539A037BDFC20EBC6BEBDC0D9E284639635493759B4DCB4D48A61AEDD31548F0994BB6B131B916799C152E7DF8BF28ABM7n4G" TargetMode="External"/><Relationship Id="rId15" Type="http://schemas.openxmlformats.org/officeDocument/2006/relationships/hyperlink" Target="consultantplus://offline/ref=516403BC07AE7BEB539A037BDFC20EBC6BEADC0099294639635493759B4DCB4D48A61AEDD31548F8924BB6B131B916799C152E7DF8BF28ABM7n4G" TargetMode="External"/><Relationship Id="rId23" Type="http://schemas.openxmlformats.org/officeDocument/2006/relationships/hyperlink" Target="consultantplus://offline/ref=516403BC07AE7BEB539A037BDFC20EBC6BEADC0099294639635493759B4DCB4D5AA642E1D11556F1985EE0E077MEnEG" TargetMode="External"/><Relationship Id="rId10" Type="http://schemas.openxmlformats.org/officeDocument/2006/relationships/hyperlink" Target="consultantplus://offline/ref=516403BC07AE7BEB539A037BDFC20EBC6BE3DF02982F4639635493759B4DCB4D5AA642E1D11556F1985EE0E077MEnEG" TargetMode="External"/><Relationship Id="rId19" Type="http://schemas.openxmlformats.org/officeDocument/2006/relationships/hyperlink" Target="consultantplus://offline/ref=516403BC07AE7BEB539A037BDFC20EBC6BEADC0099294639635493759B4DCB4D48A61AEBDB1E1CA0DF15EFE275F21B7882092E7CMEn4G" TargetMode="External"/><Relationship Id="rId4" Type="http://schemas.openxmlformats.org/officeDocument/2006/relationships/hyperlink" Target="consultantplus://offline/ref=516403BC07AE7BEB539A037BDFC20EBC6BEADC0099294639635493759B4DCB4D48A61AE4D21E1CA0DF15EFE275F21B7882092E7CMEn4G" TargetMode="External"/><Relationship Id="rId9" Type="http://schemas.openxmlformats.org/officeDocument/2006/relationships/hyperlink" Target="consultantplus://offline/ref=516403BC07AE7BEB539A037BDFC20EBC6AE2DA079C294639635493759B4DCB4D5AA642E1D11556F1985EE0E077MEnEG" TargetMode="External"/><Relationship Id="rId14" Type="http://schemas.openxmlformats.org/officeDocument/2006/relationships/hyperlink" Target="consultantplus://offline/ref=516403BC07AE7BEB539A037BDFC20EBC6BEADC0099294639635493759B4DCB4D48A61AEED61343A5CA04B7ED77EC057B9F152C7EE4MBnFG" TargetMode="External"/><Relationship Id="rId22" Type="http://schemas.openxmlformats.org/officeDocument/2006/relationships/hyperlink" Target="consultantplus://offline/ref=516403BC07AE7BEB539A037BDFC20EBC6BE4DA0C922B4639635493759B4DCB4D48A61AEDD31548F1924BB6B131B916799C152E7DF8BF28ABM7n4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4763</Words>
  <Characters>27153</Characters>
  <Application>Microsoft Office Word</Application>
  <DocSecurity>0</DocSecurity>
  <Lines>226</Lines>
  <Paragraphs>63</Paragraphs>
  <ScaleCrop>false</ScaleCrop>
  <Company/>
  <LinksUpToDate>false</LinksUpToDate>
  <CharactersWithSpaces>31853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Filimonova</dc:creator>
  <cp:keywords/>
  <dc:description/>
  <cp:lastModifiedBy>Filimonova</cp:lastModifiedBy>
  <cp:revision>1</cp:revision>
  <dcterms:created xsi:type="dcterms:W3CDTF">2022-03-20T06:39:00Z</dcterms:created>
  <dcterms:modified xsi:type="dcterms:W3CDTF">2022-03-20T06:40:00Z</dcterms:modified>
</cp:coreProperties>
</file>