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2" w:rsidRDefault="00655C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5CB2" w:rsidRDefault="00655CB2">
      <w:pPr>
        <w:pStyle w:val="ConsPlusNormal"/>
        <w:jc w:val="both"/>
        <w:outlineLvl w:val="0"/>
      </w:pPr>
    </w:p>
    <w:p w:rsidR="00655CB2" w:rsidRDefault="00655CB2">
      <w:pPr>
        <w:pStyle w:val="ConsPlusNormal"/>
        <w:outlineLvl w:val="0"/>
      </w:pPr>
      <w:r>
        <w:t>Зарегистрировано в Минюсте России 14 сентября 2021 г. N 64983</w:t>
      </w:r>
    </w:p>
    <w:p w:rsidR="00655CB2" w:rsidRDefault="00655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</w:pPr>
      <w:r>
        <w:t>МИНИСТЕРСТВО ПРИРОДНЫХ РЕСУРСОВ И ЭКОЛОГИИ</w:t>
      </w:r>
    </w:p>
    <w:p w:rsidR="00655CB2" w:rsidRDefault="00655CB2">
      <w:pPr>
        <w:pStyle w:val="ConsPlusTitle"/>
        <w:jc w:val="center"/>
      </w:pPr>
      <w:r>
        <w:t>РОССИЙСКОЙ ФЕДЕРАЦИИ</w:t>
      </w:r>
    </w:p>
    <w:p w:rsidR="00655CB2" w:rsidRDefault="00655CB2">
      <w:pPr>
        <w:pStyle w:val="ConsPlusTitle"/>
        <w:jc w:val="center"/>
      </w:pPr>
    </w:p>
    <w:p w:rsidR="00655CB2" w:rsidRDefault="00655CB2">
      <w:pPr>
        <w:pStyle w:val="ConsPlusTitle"/>
        <w:jc w:val="center"/>
      </w:pPr>
      <w:r>
        <w:t>ПРИКАЗ</w:t>
      </w:r>
    </w:p>
    <w:p w:rsidR="00655CB2" w:rsidRDefault="00655CB2">
      <w:pPr>
        <w:pStyle w:val="ConsPlusTitle"/>
        <w:jc w:val="center"/>
      </w:pPr>
      <w:r>
        <w:t>от 30 марта 2021 г. N 214</w:t>
      </w:r>
    </w:p>
    <w:p w:rsidR="00655CB2" w:rsidRDefault="00655CB2">
      <w:pPr>
        <w:pStyle w:val="ConsPlusTitle"/>
        <w:jc w:val="center"/>
      </w:pPr>
    </w:p>
    <w:p w:rsidR="00655CB2" w:rsidRDefault="00655CB2">
      <w:pPr>
        <w:pStyle w:val="ConsPlusTitle"/>
        <w:jc w:val="center"/>
      </w:pPr>
      <w:r>
        <w:t>ОБ УТВЕРЖДЕНИИ ПОРЯДКА</w:t>
      </w:r>
    </w:p>
    <w:p w:rsidR="00655CB2" w:rsidRDefault="00655CB2">
      <w:pPr>
        <w:pStyle w:val="ConsPlusTitle"/>
        <w:jc w:val="center"/>
      </w:pPr>
      <w:r>
        <w:t>ОПРЕДЕЛЕНИЯ КОНКРЕТНЫХ РАЗМЕРОВ СТАВОК РЕГУЛЯРНЫХ ПЛАТЕЖЕЙ</w:t>
      </w:r>
    </w:p>
    <w:p w:rsidR="00655CB2" w:rsidRDefault="00655CB2">
      <w:pPr>
        <w:pStyle w:val="ConsPlusTitle"/>
        <w:jc w:val="center"/>
      </w:pPr>
      <w:r>
        <w:t>ЗА ПОЛЬЗОВАНИЕ НЕДРАМИ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первым пункта 2 статьи 43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 xml:space="preserve">Собрание законодательства Российской Федерации, 2013, N 30, ст. 4060), </w:t>
      </w:r>
      <w:hyperlink r:id="rId6" w:history="1">
        <w:r>
          <w:rPr>
            <w:color w:val="0000FF"/>
          </w:rPr>
          <w:t>подпунктом 5.2.21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определения конкретных размеров ставок регулярных платежей за пользование недрами.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7 марта 2014 г. N 134 "Об утверждении Порядка определения конкретных размеров ставок регулярных платежей за пользование недрами" (зарегистрирован Министерством юстиции Российской Федерации 8 октября 2014 г., регистрационный N 34266).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по 28 февраля 2028 г.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right"/>
      </w:pPr>
      <w:r>
        <w:t>Министр</w:t>
      </w:r>
    </w:p>
    <w:p w:rsidR="00655CB2" w:rsidRDefault="00655CB2">
      <w:pPr>
        <w:pStyle w:val="ConsPlusNormal"/>
        <w:jc w:val="right"/>
      </w:pPr>
      <w:r>
        <w:t>А.А.КОЗЛОВ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right"/>
        <w:outlineLvl w:val="0"/>
      </w:pPr>
      <w:r>
        <w:t>Утвержден</w:t>
      </w:r>
    </w:p>
    <w:p w:rsidR="00655CB2" w:rsidRDefault="00655CB2">
      <w:pPr>
        <w:pStyle w:val="ConsPlusNormal"/>
        <w:jc w:val="right"/>
      </w:pPr>
      <w:r>
        <w:t>приказом Минприроды России</w:t>
      </w:r>
    </w:p>
    <w:p w:rsidR="00655CB2" w:rsidRDefault="00655CB2">
      <w:pPr>
        <w:pStyle w:val="ConsPlusNormal"/>
        <w:jc w:val="right"/>
      </w:pPr>
      <w:r>
        <w:t>от 30.03.2021 N 214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</w:pPr>
      <w:bookmarkStart w:id="0" w:name="P30"/>
      <w:bookmarkEnd w:id="0"/>
      <w:r>
        <w:t>ПОРЯДОК</w:t>
      </w:r>
    </w:p>
    <w:p w:rsidR="00655CB2" w:rsidRDefault="00655CB2">
      <w:pPr>
        <w:pStyle w:val="ConsPlusTitle"/>
        <w:jc w:val="center"/>
      </w:pPr>
      <w:r>
        <w:t>ОПРЕДЕЛЕНИЯ КОНКРЕТНЫХ РАЗМЕРОВ СТАВОК РЕГУЛЯРНЫХ ПЛАТЕЖЕЙ</w:t>
      </w:r>
    </w:p>
    <w:p w:rsidR="00655CB2" w:rsidRDefault="00655CB2">
      <w:pPr>
        <w:pStyle w:val="ConsPlusTitle"/>
        <w:jc w:val="center"/>
      </w:pPr>
      <w:r>
        <w:t>ЗА ПОЛЬЗОВАНИЕ НЕДРАМИ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8" w:history="1">
        <w:r>
          <w:rPr>
            <w:color w:val="0000FF"/>
          </w:rPr>
          <w:t>абзацем первым пункта 2 статьи 43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 xml:space="preserve">Собрание законодательства Российской Федерации, 2013, N 30, ст. 4060) (далее - Закон Российской Федерации "О недрах"), </w:t>
      </w:r>
      <w:hyperlink r:id="rId9" w:history="1">
        <w:r>
          <w:rPr>
            <w:color w:val="0000FF"/>
          </w:rPr>
          <w:t>подпунктом 5.2.21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</w:t>
      </w:r>
      <w:r>
        <w:lastRenderedPageBreak/>
        <w:t>Российской Федерации от 11 ноября 2015 г. N 1219 (Собрание законодательства Российской Федерации, 2015, N 47, ст. 6586), и устанавливает принципы определения конкретного размера ставки регулярного платежа за пользование недрами по</w:t>
      </w:r>
      <w:proofErr w:type="gramEnd"/>
      <w:r>
        <w:t xml:space="preserve"> </w:t>
      </w:r>
      <w:proofErr w:type="gramStart"/>
      <w:r>
        <w:t>каждому участку недр, предоставленному в пользование, в том числе расположенному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</w:t>
      </w:r>
      <w:proofErr w:type="gramEnd"/>
      <w:r>
        <w:t xml:space="preserve"> </w:t>
      </w:r>
      <w:proofErr w:type="gramStart"/>
      <w:r>
        <w:t>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пределах российского сектора Каспийского моря, и Мирового океана, в пределах минимальных и максимальных ставок, установленных законодательством Российской Федерации о недрах &lt;1&gt;, и предназначен для использования Федеральным агентством по недропользованию, его территориальными органами при определении конкретных размеров ставок регулярных</w:t>
      </w:r>
      <w:proofErr w:type="gramEnd"/>
      <w:r>
        <w:t xml:space="preserve"> платежей за пользование участками недр, за исключением участков недр местного значения, в отношении которых конкретные размеры ставок регулярных платежей определяются органами государственной власти субъектов Российской Федерации.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Абзац шестой пункта 2 статьи 43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2013, N 30, ст. 4060).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ind w:firstLine="540"/>
        <w:jc w:val="both"/>
      </w:pPr>
      <w:r>
        <w:t xml:space="preserve">2. Размеры ставок регулярных платежей за пользование недрами определяются в зависимости </w:t>
      </w:r>
      <w:proofErr w:type="gramStart"/>
      <w:r>
        <w:t>от</w:t>
      </w:r>
      <w:proofErr w:type="gramEnd"/>
      <w:r>
        <w:t>: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1) экономико-географических условий;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2) размера участка недр;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3) вида полезного ископаемого;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4) продолжительности работ;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5) степени геологической изученности территории;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6) степени риска.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Регулярный платеж за пользование недрами взимается за площадь участка недр, предоставленного пользователю недр, за вычетом площади возвращенной части участка недр.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Расчет конкретных размеров ставок регулярного платежа за пользование недрами производится по формуле:</w:t>
      </w:r>
    </w:p>
    <w:p w:rsidR="00655CB2" w:rsidRDefault="00655CB2">
      <w:pPr>
        <w:pStyle w:val="ConsPlusNormal"/>
        <w:jc w:val="both"/>
      </w:pPr>
    </w:p>
    <w:p w:rsidR="00655CB2" w:rsidRPr="00655CB2" w:rsidRDefault="00655CB2">
      <w:pPr>
        <w:pStyle w:val="ConsPlusNormal"/>
        <w:ind w:firstLine="540"/>
        <w:jc w:val="both"/>
        <w:rPr>
          <w:lang w:val="en-US"/>
        </w:rPr>
      </w:pPr>
      <w:bookmarkStart w:id="1" w:name="P48"/>
      <w:bookmarkEnd w:id="1"/>
      <w:r w:rsidRPr="00655CB2">
        <w:rPr>
          <w:lang w:val="en-US"/>
        </w:rPr>
        <w:t xml:space="preserve">R = </w:t>
      </w:r>
      <w:proofErr w:type="spellStart"/>
      <w:r w:rsidRPr="00655CB2">
        <w:rPr>
          <w:lang w:val="en-US"/>
        </w:rPr>
        <w:t>R</w:t>
      </w:r>
      <w:r w:rsidRPr="00655CB2">
        <w:rPr>
          <w:vertAlign w:val="subscript"/>
          <w:lang w:val="en-US"/>
        </w:rPr>
        <w:t>min</w:t>
      </w:r>
      <w:proofErr w:type="spellEnd"/>
      <w:r w:rsidRPr="00655CB2">
        <w:rPr>
          <w:lang w:val="en-US"/>
        </w:rPr>
        <w:t xml:space="preserve"> + K · (</w:t>
      </w:r>
      <w:proofErr w:type="spellStart"/>
      <w:r w:rsidRPr="00655CB2">
        <w:rPr>
          <w:lang w:val="en-US"/>
        </w:rPr>
        <w:t>R</w:t>
      </w:r>
      <w:r w:rsidRPr="00655CB2">
        <w:rPr>
          <w:vertAlign w:val="subscript"/>
          <w:lang w:val="en-US"/>
        </w:rPr>
        <w:t>max</w:t>
      </w:r>
      <w:proofErr w:type="spellEnd"/>
      <w:r w:rsidRPr="00655CB2">
        <w:rPr>
          <w:lang w:val="en-US"/>
        </w:rPr>
        <w:t xml:space="preserve"> - </w:t>
      </w:r>
      <w:proofErr w:type="spellStart"/>
      <w:r w:rsidRPr="00655CB2">
        <w:rPr>
          <w:lang w:val="en-US"/>
        </w:rPr>
        <w:t>R</w:t>
      </w:r>
      <w:r w:rsidRPr="00655CB2">
        <w:rPr>
          <w:vertAlign w:val="subscript"/>
          <w:lang w:val="en-US"/>
        </w:rPr>
        <w:t>min</w:t>
      </w:r>
      <w:proofErr w:type="spellEnd"/>
      <w:r w:rsidRPr="00655CB2">
        <w:rPr>
          <w:lang w:val="en-US"/>
        </w:rPr>
        <w:t>), (1)</w:t>
      </w:r>
    </w:p>
    <w:p w:rsidR="00655CB2" w:rsidRPr="00655CB2" w:rsidRDefault="00655CB2">
      <w:pPr>
        <w:pStyle w:val="ConsPlusNormal"/>
        <w:jc w:val="both"/>
        <w:rPr>
          <w:lang w:val="en-US"/>
        </w:rPr>
      </w:pPr>
    </w:p>
    <w:p w:rsidR="00655CB2" w:rsidRDefault="00655CB2">
      <w:pPr>
        <w:pStyle w:val="ConsPlusNormal"/>
        <w:ind w:firstLine="540"/>
        <w:jc w:val="both"/>
      </w:pPr>
      <w:r>
        <w:t>где: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R - конкретный размер ставки регулярного платежа за пользование недрами (руб.);</w:t>
      </w:r>
    </w:p>
    <w:p w:rsidR="00655CB2" w:rsidRDefault="00655CB2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max</w:t>
      </w:r>
      <w:proofErr w:type="spellEnd"/>
      <w:r>
        <w:t xml:space="preserve"> - максимальный установленный размер ставки регулярного платежа (руб.);</w:t>
      </w:r>
    </w:p>
    <w:p w:rsidR="00655CB2" w:rsidRDefault="00655CB2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min</w:t>
      </w:r>
      <w:proofErr w:type="spellEnd"/>
      <w:r>
        <w:t xml:space="preserve"> - минимальный установленный размер ставки регулярного платежа (руб.);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K - поправочный коэффициент (может принимать значения от 0 до 1).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lastRenderedPageBreak/>
        <w:t>Максимальный (</w:t>
      </w:r>
      <w:proofErr w:type="spellStart"/>
      <w:r>
        <w:t>R</w:t>
      </w:r>
      <w:r>
        <w:rPr>
          <w:vertAlign w:val="subscript"/>
        </w:rPr>
        <w:t>max</w:t>
      </w:r>
      <w:proofErr w:type="spellEnd"/>
      <w:r>
        <w:t>) и минимальный (</w:t>
      </w:r>
      <w:proofErr w:type="spellStart"/>
      <w:r>
        <w:t>R</w:t>
      </w:r>
      <w:r>
        <w:rPr>
          <w:vertAlign w:val="subscript"/>
        </w:rPr>
        <w:t>min</w:t>
      </w:r>
      <w:proofErr w:type="spellEnd"/>
      <w:r>
        <w:t xml:space="preserve">) размер ставки регулярного платежа в </w:t>
      </w:r>
      <w:hyperlink w:anchor="P48" w:history="1">
        <w:r>
          <w:rPr>
            <w:color w:val="0000FF"/>
          </w:rPr>
          <w:t>формуле (1)</w:t>
        </w:r>
      </w:hyperlink>
      <w:r>
        <w:t xml:space="preserve"> определяется в зависимости от видов работ и полезных ископаемых в соответствии со </w:t>
      </w:r>
      <w:hyperlink r:id="rId11" w:history="1">
        <w:r>
          <w:rPr>
            <w:color w:val="0000FF"/>
          </w:rPr>
          <w:t>статьей 43</w:t>
        </w:r>
      </w:hyperlink>
      <w:r>
        <w:t xml:space="preserve"> Закона Российской Федерации "О недрах".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Поправочный коэффициент K в </w:t>
      </w:r>
      <w:hyperlink w:anchor="P48" w:history="1">
        <w:r>
          <w:rPr>
            <w:color w:val="0000FF"/>
          </w:rPr>
          <w:t>формуле (1)</w:t>
        </w:r>
      </w:hyperlink>
      <w:r>
        <w:t xml:space="preserve">, если иное не установлено настоящим Порядком, определяется как сумма поправочных коэффициентов, учитывающих условия проведения геологоразведочных работ, строительства и эксплуатации подземных сооружений, не связанных с добычей полезных ископаемых, приведенных в </w:t>
      </w:r>
      <w:hyperlink w:anchor="P83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655CB2" w:rsidRDefault="00655CB2">
      <w:pPr>
        <w:pStyle w:val="ConsPlusNormal"/>
        <w:spacing w:before="220"/>
        <w:ind w:firstLine="540"/>
        <w:jc w:val="both"/>
      </w:pPr>
      <w:proofErr w:type="gramStart"/>
      <w:r>
        <w:t>Для определения конкретных размеров ставок регулярных платежей за пользование недрами в целях поиска и оценки месторождений полезных ископаемых, начиная с 5-го года, а при проведении работ по геологическому изучению участков недр, расположенных полностью или частично в границах Республики Саха (Якутия), Республики Коми, Камчатского края, Красноярского края, Хабаровского края, Архангельской области, Иркутской области, Магаданской области, Сахалинской области, Ненецкого автономного округа, Чукотского</w:t>
      </w:r>
      <w:proofErr w:type="gramEnd"/>
      <w:r>
        <w:t xml:space="preserve"> автономного округа, Ямало-Ненецкого автономного округа, - с 7-го года пользования недрами, исчисленного с квартала, следующего за кварталом, в котором произведена государственная регистрация лицензии на пользование недрами, поправочный коэффициент K принимается равным 1.</w:t>
      </w:r>
    </w:p>
    <w:p w:rsidR="00655CB2" w:rsidRDefault="00655CB2">
      <w:pPr>
        <w:pStyle w:val="ConsPlusNormal"/>
        <w:spacing w:before="220"/>
        <w:ind w:firstLine="540"/>
        <w:jc w:val="both"/>
      </w:pPr>
      <w:proofErr w:type="gramStart"/>
      <w:r>
        <w:t>Для определения конкретных размеров ставок регулярных платежей за пользование недрами в целях разведки полезных ископаемых, начиная с 4-го года проведения разведочных работ, исчисленного с квартала, следующего за кварталом, в котором сформирована реестровая запись &lt;2&gt; в государственном реестре работ по геологическому изучению недр о разведочных работах, поправочный коэффициент K принимается равным 1.</w:t>
      </w:r>
      <w:proofErr w:type="gramEnd"/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Порядок</w:t>
        </w:r>
      </w:hyperlink>
      <w:r>
        <w:t xml:space="preserve">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участками недр, утвержденный приказом Минприроды России от 29 октября 2020 г. N 865 (зарегистрирован Министерством юстиции Российской Федерации 3 февраля 2021 г., регистрационный N 62351).</w:t>
      </w:r>
    </w:p>
    <w:p w:rsidR="00655CB2" w:rsidRDefault="00655CB2">
      <w:pPr>
        <w:pStyle w:val="ConsPlusNormal"/>
        <w:ind w:firstLine="540"/>
        <w:jc w:val="both"/>
      </w:pPr>
    </w:p>
    <w:p w:rsidR="00655CB2" w:rsidRDefault="00655CB2">
      <w:pPr>
        <w:pStyle w:val="ConsPlusNormal"/>
        <w:ind w:firstLine="540"/>
        <w:jc w:val="both"/>
      </w:pPr>
      <w:r>
        <w:t>Конкретный размер ставки регулярного платежа округляется до целых рублей по правилам математического округления чисел.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Конкретные размеры ставок регулярных платежей за пользование недрами по участкам недр, расположенным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российского сектора Каспийского моря, и Мирового океана, определяются по </w:t>
      </w:r>
      <w:hyperlink w:anchor="P48" w:history="1">
        <w:r>
          <w:rPr>
            <w:color w:val="0000FF"/>
          </w:rPr>
          <w:t>формуле (1)</w:t>
        </w:r>
      </w:hyperlink>
      <w:r>
        <w:t xml:space="preserve"> с учетом особенностей, установленных настоящим пунктом.</w:t>
      </w:r>
      <w:proofErr w:type="gramEnd"/>
    </w:p>
    <w:p w:rsidR="00655CB2" w:rsidRDefault="00655CB2">
      <w:pPr>
        <w:pStyle w:val="ConsPlusNormal"/>
        <w:spacing w:before="220"/>
        <w:ind w:firstLine="540"/>
        <w:jc w:val="both"/>
      </w:pPr>
      <w:proofErr w:type="gramStart"/>
      <w:r>
        <w:t xml:space="preserve">Поправочный коэффициент K в </w:t>
      </w:r>
      <w:hyperlink w:anchor="P48" w:history="1">
        <w:r>
          <w:rPr>
            <w:color w:val="0000FF"/>
          </w:rPr>
          <w:t>формуле (1)</w:t>
        </w:r>
      </w:hyperlink>
      <w:r>
        <w:t xml:space="preserve"> в целях определения конкретных размеров ставок регулярных платежей за пользование недрами по участкам недр, расположенным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Черном и Азовском морях, в пределах российского сектора Каспийского моря, и Мирового океана, определяется как сумма</w:t>
      </w:r>
      <w:proofErr w:type="gramEnd"/>
      <w:r>
        <w:t xml:space="preserve"> поправочных коэффициентов, учитывающих условия проведения геологоразведочных работ, строительства и эксплуатации подземных сооружений, не связанных с добычей полезных ископаемых, приведенных в </w:t>
      </w:r>
      <w:hyperlink w:anchor="P252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При определении в соответствии с </w:t>
      </w:r>
      <w:hyperlink w:anchor="P252" w:history="1">
        <w:r>
          <w:rPr>
            <w:color w:val="0000FF"/>
          </w:rPr>
          <w:t>Приложением N 2</w:t>
        </w:r>
      </w:hyperlink>
      <w:r>
        <w:t xml:space="preserve"> к настоящему Порядку плотности прогнозных ресурсов углеводородного сырья и плотности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 xml:space="preserve">) углеводородного сырья, перевод полезных ископаемых в условные единицы осуществляется с использованием </w:t>
      </w:r>
      <w:r>
        <w:lastRenderedPageBreak/>
        <w:t>следующих коэффициентов пересчета: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1) для нефти и газового конденсата: 1 тонна условного топлива = 1 тонна нефти (газового конденсата) * 1,43;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2) для газа горючего природного: 1 тонна условного топлива = 1 000 куб. </w:t>
      </w:r>
      <w:proofErr w:type="gramStart"/>
      <w:r>
        <w:t>м</w:t>
      </w:r>
      <w:proofErr w:type="gramEnd"/>
      <w:r>
        <w:t xml:space="preserve"> газа * 1,15;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 xml:space="preserve">3) для газа горючего попутного: 1 тонна условного топлива = 1 000 куб. </w:t>
      </w:r>
      <w:proofErr w:type="gramStart"/>
      <w:r>
        <w:t>м</w:t>
      </w:r>
      <w:proofErr w:type="gramEnd"/>
      <w:r>
        <w:t xml:space="preserve"> газа * 1,3.</w:t>
      </w:r>
    </w:p>
    <w:p w:rsidR="00655CB2" w:rsidRDefault="00655CB2">
      <w:pPr>
        <w:pStyle w:val="ConsPlusNormal"/>
        <w:spacing w:before="220"/>
        <w:ind w:firstLine="540"/>
        <w:jc w:val="both"/>
      </w:pPr>
      <w:r>
        <w:t>Для определения конкретных размеров ставок регулярных платежей за пользование недрами в целях поиска и оценки месторождений полезных ископаемых, начиная с 10-го года пользования недрами, исчисленного с первого числа квартала, следующего за кварталом, в котором произведена государственная регистрация лицензии на пользование недрами, поправочный коэффициент K принимается равным 1.</w:t>
      </w:r>
    </w:p>
    <w:p w:rsidR="00655CB2" w:rsidRDefault="00655CB2">
      <w:pPr>
        <w:pStyle w:val="ConsPlusNormal"/>
        <w:spacing w:before="220"/>
        <w:ind w:firstLine="540"/>
        <w:jc w:val="both"/>
      </w:pPr>
      <w:proofErr w:type="gramStart"/>
      <w:r>
        <w:t>Для определения конкретных размеров ставок регулярных платежей за пользование недрами в целях разведки полезных ископаемых, начиная с 8-го года проведения разведочных работ, исчисленного с первого числа квартала, следующего за кварталом, в котором сформирована реестровая запись в государственном реестре работ по геологическому изучению недр о разведочных работах, поправочный коэффициент K принимается равным 1.</w:t>
      </w:r>
      <w:proofErr w:type="gramEnd"/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right"/>
        <w:outlineLvl w:val="1"/>
      </w:pPr>
      <w:r>
        <w:t>Приложение N 1</w:t>
      </w:r>
    </w:p>
    <w:p w:rsidR="00655CB2" w:rsidRDefault="00655CB2">
      <w:pPr>
        <w:pStyle w:val="ConsPlusNormal"/>
        <w:jc w:val="right"/>
      </w:pPr>
      <w:r>
        <w:t xml:space="preserve">к Порядку определения </w:t>
      </w:r>
      <w:proofErr w:type="gramStart"/>
      <w:r>
        <w:t>конкретных</w:t>
      </w:r>
      <w:proofErr w:type="gramEnd"/>
    </w:p>
    <w:p w:rsidR="00655CB2" w:rsidRDefault="00655CB2">
      <w:pPr>
        <w:pStyle w:val="ConsPlusNormal"/>
        <w:jc w:val="right"/>
      </w:pPr>
      <w:r>
        <w:t>размеров ставок регулярных</w:t>
      </w:r>
    </w:p>
    <w:p w:rsidR="00655CB2" w:rsidRDefault="00655CB2">
      <w:pPr>
        <w:pStyle w:val="ConsPlusNormal"/>
        <w:jc w:val="right"/>
      </w:pPr>
      <w:r>
        <w:t>платежей за пользование недрами,</w:t>
      </w:r>
    </w:p>
    <w:p w:rsidR="00655CB2" w:rsidRDefault="00655CB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55CB2" w:rsidRDefault="00655CB2">
      <w:pPr>
        <w:pStyle w:val="ConsPlusNormal"/>
        <w:jc w:val="right"/>
      </w:pPr>
      <w:r>
        <w:t>Минприроды России</w:t>
      </w:r>
    </w:p>
    <w:p w:rsidR="00655CB2" w:rsidRDefault="00655CB2">
      <w:pPr>
        <w:pStyle w:val="ConsPlusNormal"/>
        <w:jc w:val="right"/>
      </w:pPr>
      <w:r>
        <w:t>от 30.03.2021 N 214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</w:pPr>
      <w:bookmarkStart w:id="2" w:name="P83"/>
      <w:bookmarkEnd w:id="2"/>
      <w:r>
        <w:t>ПОПРАВОЧНЫЕ КОЭФФИЦИЕНТЫ,</w:t>
      </w:r>
    </w:p>
    <w:p w:rsidR="00655CB2" w:rsidRDefault="00655CB2">
      <w:pPr>
        <w:pStyle w:val="ConsPlusTitle"/>
        <w:jc w:val="center"/>
      </w:pPr>
      <w:r>
        <w:t>УЧИТЫВАЮЩИЕ УСЛОВИЯ ПРОВЕДЕНИЯ ГЕОЛОГОРАЗВЕДОЧНЫХ РАБОТ,</w:t>
      </w:r>
    </w:p>
    <w:p w:rsidR="00655CB2" w:rsidRDefault="00655CB2">
      <w:pPr>
        <w:pStyle w:val="ConsPlusTitle"/>
        <w:jc w:val="center"/>
      </w:pPr>
      <w:r>
        <w:t>СТРОИТЕЛЬСТВА И ЭКСПЛУАТАЦИИ ПОДЗЕМНЫХ СООРУЖЕНИЙ,</w:t>
      </w:r>
    </w:p>
    <w:p w:rsidR="00655CB2" w:rsidRDefault="00655CB2">
      <w:pPr>
        <w:pStyle w:val="ConsPlusTitle"/>
        <w:jc w:val="center"/>
      </w:pPr>
      <w:r>
        <w:t>НЕ СВЯЗАННЫХ С ДОБЫЧЕЙ ПОЛЕЗНЫХ ИСКОПАЕМЫХ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2"/>
      </w:pPr>
      <w:r>
        <w:t>Экономико-географические условия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1923"/>
        <w:gridCol w:w="1923"/>
        <w:gridCol w:w="1924"/>
      </w:tblGrid>
      <w:tr w:rsidR="00655CB2">
        <w:tc>
          <w:tcPr>
            <w:tcW w:w="3302" w:type="dxa"/>
            <w:vMerge w:val="restart"/>
          </w:tcPr>
          <w:p w:rsidR="00655CB2" w:rsidRDefault="00655CB2">
            <w:pPr>
              <w:pStyle w:val="ConsPlusNormal"/>
              <w:jc w:val="center"/>
            </w:pPr>
            <w:r>
              <w:t>Факторы</w:t>
            </w:r>
          </w:p>
        </w:tc>
        <w:tc>
          <w:tcPr>
            <w:tcW w:w="5770" w:type="dxa"/>
            <w:gridSpan w:val="3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</w:tr>
      <w:tr w:rsidR="00655CB2">
        <w:tc>
          <w:tcPr>
            <w:tcW w:w="3302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строительства и эксплуатации подземных сооружений, не связанных с добычей полезных ископаемых</w:t>
            </w:r>
          </w:p>
        </w:tc>
      </w:tr>
      <w:tr w:rsidR="00655CB2">
        <w:tc>
          <w:tcPr>
            <w:tcW w:w="9072" w:type="dxa"/>
            <w:gridSpan w:val="4"/>
          </w:tcPr>
          <w:p w:rsidR="00655CB2" w:rsidRDefault="00655CB2">
            <w:pPr>
              <w:pStyle w:val="ConsPlusNormal"/>
              <w:jc w:val="center"/>
              <w:outlineLvl w:val="3"/>
            </w:pPr>
            <w:r>
              <w:t>Расстояние от автомобильных дорог общего пользования регионального или межмуниципального значения (кратчайшее расстояние по прямой линии на карте)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Более 100 км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50 - 100 км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0,05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До 50 км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0,100</w:t>
            </w:r>
          </w:p>
        </w:tc>
      </w:tr>
      <w:tr w:rsidR="00655CB2">
        <w:tc>
          <w:tcPr>
            <w:tcW w:w="9072" w:type="dxa"/>
            <w:gridSpan w:val="4"/>
          </w:tcPr>
          <w:p w:rsidR="00655CB2" w:rsidRDefault="00655CB2">
            <w:pPr>
              <w:pStyle w:val="ConsPlusNormal"/>
              <w:jc w:val="center"/>
              <w:outlineLvl w:val="3"/>
            </w:pPr>
            <w:r>
              <w:t>Климатические условия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Крайне неблагоприятные (районы арктических пустынь)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Неблагоприятные (районы Крайнего Севера и приравненные к ним местности, районы высокогорья или безводные районы)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0,075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Благоприятные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0,150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2"/>
      </w:pPr>
      <w:proofErr w:type="gramStart"/>
      <w:r>
        <w:t>Продолжительность работ (для лицензий на пользование</w:t>
      </w:r>
      <w:proofErr w:type="gramEnd"/>
    </w:p>
    <w:p w:rsidR="00655CB2" w:rsidRDefault="00655CB2">
      <w:pPr>
        <w:pStyle w:val="ConsPlusTitle"/>
        <w:jc w:val="center"/>
      </w:pPr>
      <w:r>
        <w:t>недрами, в отношении которых установлен предельный срок</w:t>
      </w:r>
    </w:p>
    <w:p w:rsidR="00655CB2" w:rsidRDefault="00655CB2">
      <w:pPr>
        <w:pStyle w:val="ConsPlusTitle"/>
        <w:jc w:val="center"/>
      </w:pPr>
      <w:r>
        <w:t>пользования недрами для целей геологического изучения 5 лет)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1923"/>
        <w:gridCol w:w="1923"/>
        <w:gridCol w:w="1924"/>
      </w:tblGrid>
      <w:tr w:rsidR="00655CB2">
        <w:tc>
          <w:tcPr>
            <w:tcW w:w="3302" w:type="dxa"/>
            <w:vMerge w:val="restart"/>
          </w:tcPr>
          <w:p w:rsidR="00655CB2" w:rsidRDefault="00655CB2">
            <w:pPr>
              <w:pStyle w:val="ConsPlusNormal"/>
              <w:jc w:val="center"/>
            </w:pPr>
            <w:r>
              <w:t>Год пользования участком недр, исчисленный с квартала, следующего за кварталом, в котором сформирована реестровая запись в 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5770" w:type="dxa"/>
            <w:gridSpan w:val="3"/>
          </w:tcPr>
          <w:p w:rsidR="00655CB2" w:rsidRDefault="00655CB2">
            <w:pPr>
              <w:pStyle w:val="ConsPlusNormal"/>
              <w:jc w:val="center"/>
            </w:pPr>
            <w:r>
              <w:t>Оценка влияния продолжительности работ</w:t>
            </w:r>
          </w:p>
        </w:tc>
      </w:tr>
      <w:tr w:rsidR="00655CB2">
        <w:tc>
          <w:tcPr>
            <w:tcW w:w="3302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поиски и оценка месторождений полезных ископаемых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разведка полезных ископаемых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строительство и эксплуатация подземных сооружений, не связанных с добычей полезных ископаемых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0,05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0,15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2"/>
      </w:pPr>
      <w:proofErr w:type="gramStart"/>
      <w:r>
        <w:t>Продолжительность работ (для лицензий на пользование</w:t>
      </w:r>
      <w:proofErr w:type="gramEnd"/>
    </w:p>
    <w:p w:rsidR="00655CB2" w:rsidRDefault="00655CB2">
      <w:pPr>
        <w:pStyle w:val="ConsPlusTitle"/>
        <w:jc w:val="center"/>
      </w:pPr>
      <w:r>
        <w:t>недрами, в отношении которых установлен предельный срок</w:t>
      </w:r>
    </w:p>
    <w:p w:rsidR="00655CB2" w:rsidRDefault="00655CB2">
      <w:pPr>
        <w:pStyle w:val="ConsPlusTitle"/>
        <w:jc w:val="center"/>
      </w:pPr>
      <w:r>
        <w:t>пользования недрами для целей геологического изучения 7 лет)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1923"/>
        <w:gridCol w:w="1923"/>
        <w:gridCol w:w="1924"/>
      </w:tblGrid>
      <w:tr w:rsidR="00655CB2">
        <w:tc>
          <w:tcPr>
            <w:tcW w:w="3302" w:type="dxa"/>
            <w:vMerge w:val="restart"/>
          </w:tcPr>
          <w:p w:rsidR="00655CB2" w:rsidRDefault="00655CB2">
            <w:pPr>
              <w:pStyle w:val="ConsPlusNormal"/>
              <w:jc w:val="center"/>
            </w:pPr>
            <w:r>
              <w:t xml:space="preserve">Год пользования участком недр, исчисленный с квартала, следующего за кварталом, в котором сформирована реестровая запись в </w:t>
            </w:r>
            <w:r>
              <w:lastRenderedPageBreak/>
              <w:t>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5770" w:type="dxa"/>
            <w:gridSpan w:val="3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Оценка влияния продолжительности работ</w:t>
            </w:r>
          </w:p>
        </w:tc>
      </w:tr>
      <w:tr w:rsidR="00655CB2">
        <w:tc>
          <w:tcPr>
            <w:tcW w:w="3302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 xml:space="preserve">поиски и оценка месторождений полезных </w:t>
            </w:r>
            <w:r>
              <w:lastRenderedPageBreak/>
              <w:t>ископаемых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разведка полезных ископаемых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 xml:space="preserve">строительство и эксплуатация подземных </w:t>
            </w:r>
            <w:r>
              <w:lastRenderedPageBreak/>
              <w:t>сооружений, не связанных с добычей полезных ископаемых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1-й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0,03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0,06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0,09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0,12</w:t>
            </w:r>
          </w:p>
        </w:tc>
      </w:tr>
      <w:tr w:rsidR="00655CB2">
        <w:tc>
          <w:tcPr>
            <w:tcW w:w="3302" w:type="dxa"/>
          </w:tcPr>
          <w:p w:rsidR="00655CB2" w:rsidRDefault="00655CB2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23" w:type="dxa"/>
          </w:tcPr>
          <w:p w:rsidR="00655CB2" w:rsidRDefault="00655C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55CB2" w:rsidRDefault="00655CB2">
            <w:pPr>
              <w:pStyle w:val="ConsPlusNormal"/>
              <w:jc w:val="center"/>
            </w:pPr>
            <w:r>
              <w:t>0,15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2"/>
      </w:pPr>
      <w:r>
        <w:t>Степень геологической изученности и степень риска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5216"/>
        <w:gridCol w:w="1928"/>
      </w:tblGrid>
      <w:tr w:rsidR="00655CB2">
        <w:tc>
          <w:tcPr>
            <w:tcW w:w="1920" w:type="dxa"/>
          </w:tcPr>
          <w:p w:rsidR="00655CB2" w:rsidRDefault="00655CB2">
            <w:pPr>
              <w:pStyle w:val="ConsPlusNormal"/>
              <w:jc w:val="center"/>
            </w:pPr>
            <w:r>
              <w:t>Стадии работ</w:t>
            </w:r>
          </w:p>
        </w:tc>
        <w:tc>
          <w:tcPr>
            <w:tcW w:w="5216" w:type="dxa"/>
          </w:tcPr>
          <w:p w:rsidR="00655CB2" w:rsidRDefault="00655CB2">
            <w:pPr>
              <w:pStyle w:val="ConsPlusNormal"/>
              <w:jc w:val="center"/>
            </w:pPr>
            <w:r>
              <w:t>Факторы</w:t>
            </w:r>
          </w:p>
        </w:tc>
        <w:tc>
          <w:tcPr>
            <w:tcW w:w="1928" w:type="dxa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</w:t>
            </w:r>
          </w:p>
        </w:tc>
      </w:tr>
      <w:tr w:rsidR="00655CB2">
        <w:tc>
          <w:tcPr>
            <w:tcW w:w="1920" w:type="dxa"/>
            <w:vMerge w:val="restart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Поиски и оценка</w:t>
            </w: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Геологическая изученность: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</w:pP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proofErr w:type="gramStart"/>
            <w:r>
              <w:t>Низкая</w:t>
            </w:r>
            <w:proofErr w:type="gramEnd"/>
            <w:r>
              <w:t xml:space="preserve"> (отсутствуют геологические и геофизические карты масштаба 1:50000 - 1:200000)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proofErr w:type="gramStart"/>
            <w:r>
              <w:t>Средняя</w:t>
            </w:r>
            <w:proofErr w:type="gramEnd"/>
            <w:r>
              <w:t xml:space="preserve"> (имеются геологические и геофизические карты масштаба 1:50000 - 1:200000)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proofErr w:type="gramStart"/>
            <w:r>
              <w:t>Высокая</w:t>
            </w:r>
            <w:proofErr w:type="gramEnd"/>
            <w:r>
              <w:t xml:space="preserve"> (имеются геологические и геофизические карты масштаба 1:50000 - 1:200000, результаты ранее проходивших поисковых, </w:t>
            </w:r>
            <w:proofErr w:type="spellStart"/>
            <w:r>
              <w:t>поисковооценочных</w:t>
            </w:r>
            <w:proofErr w:type="spellEnd"/>
            <w:r>
              <w:t>, разведочных работ на данный вид полезных ископаемых)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0,30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Прогнозные ресурсы на данный вид полезного ископаемого: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</w:pP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- отсутствуют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- имеются прогнозные ресурсы твердых полезных ископаемых категорий P</w:t>
            </w:r>
            <w:r>
              <w:rPr>
                <w:vertAlign w:val="subscript"/>
              </w:rPr>
              <w:t>1</w:t>
            </w:r>
            <w:r>
              <w:t xml:space="preserve"> и P</w:t>
            </w:r>
            <w:r>
              <w:rPr>
                <w:vertAlign w:val="subscript"/>
              </w:rPr>
              <w:t>2</w:t>
            </w:r>
            <w:r>
              <w:t xml:space="preserve"> или прогнозные ресурсы углеводородного сырья D</w:t>
            </w:r>
            <w:r>
              <w:rPr>
                <w:vertAlign w:val="subscript"/>
              </w:rPr>
              <w:t>1</w:t>
            </w:r>
            <w:r>
              <w:t xml:space="preserve"> и D</w:t>
            </w:r>
            <w:r>
              <w:rPr>
                <w:vertAlign w:val="subscript"/>
              </w:rPr>
              <w:t>2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0,30</w:t>
            </w:r>
          </w:p>
        </w:tc>
      </w:tr>
      <w:tr w:rsidR="00655CB2">
        <w:tc>
          <w:tcPr>
            <w:tcW w:w="1920" w:type="dxa"/>
            <w:vMerge w:val="restart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Разведка (полезные ископаемые, за исключением углеводородного сырья)</w:t>
            </w: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Группа сложности месторождения в соответствии с действующими классификациями запасов по видам полезных ископаемых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</w:pP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0,60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0,40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0,20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4 группа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1920" w:type="dxa"/>
            <w:vMerge w:val="restart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Разведка (углеводородное сырье)</w:t>
            </w: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Группа сложности месторождения в соответствии с действующими классификациями запасов по видам полезных ископаемых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</w:pP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 xml:space="preserve">1 группа (простого строения - однофазные залежи, связанные с ненарушенными или слабо нарушенными структурами, продуктивные пласты характеризуются выдержанностью толщин и </w:t>
            </w:r>
            <w:proofErr w:type="spellStart"/>
            <w:r>
              <w:t>коллекторских</w:t>
            </w:r>
            <w:proofErr w:type="spellEnd"/>
            <w:r>
              <w:t xml:space="preserve"> свойств по площади и разрезу)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0,60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 xml:space="preserve">2 группа (сложного строения - одно- и двухфазные залежи, характеризующиеся невыдержанностью толщин и </w:t>
            </w:r>
            <w:proofErr w:type="spellStart"/>
            <w:r>
              <w:t>коллекторских</w:t>
            </w:r>
            <w:proofErr w:type="spellEnd"/>
            <w:r>
              <w:t xml:space="preserve"> свой</w:t>
            </w:r>
            <w:proofErr w:type="gramStart"/>
            <w:r>
              <w:t>ств пр</w:t>
            </w:r>
            <w:proofErr w:type="gramEnd"/>
            <w:r>
              <w:t>одуктивных пластов по площади и разрезу или наличием литологических замещений коллекторов непроницаемыми породами, либо тектонических нарушений)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0,30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 xml:space="preserve">3 группа (очень сложного строения - одно- и двухфазные залежи, характеризующиеся как наличием литологических </w:t>
            </w:r>
            <w:proofErr w:type="gramStart"/>
            <w:r>
              <w:t>замещений</w:t>
            </w:r>
            <w:proofErr w:type="gramEnd"/>
            <w:r>
              <w:t xml:space="preserve"> или тектонических нарушений, так и невыдержанностью толщин и </w:t>
            </w:r>
            <w:proofErr w:type="spellStart"/>
            <w:r>
              <w:t>коллекторских</w:t>
            </w:r>
            <w:proofErr w:type="spellEnd"/>
            <w:r>
              <w:t xml:space="preserve"> свойств продуктивных пластов)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1920" w:type="dxa"/>
            <w:vMerge w:val="restart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Строительство и эксплуатация подземных сооружений, не связанных с добычей полезных ископаемых</w:t>
            </w: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Горно-геологические и инженерно-геологические условия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</w:pP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proofErr w:type="gramStart"/>
            <w:r>
              <w:t>Простые (глубина работ до 300 м, породы устойчивые, не склонные к самовозгоранию, не опасны по силикозу, газу и пыли, по содержанию радионуклидов отвечают 1 классу; при строительстве будут применяться типовые технологии горных работ, не требуется специальных мер по обеспечению устойчивости кровли и поддержанию выработанного пространства, район работ сейсмически безопасен - опасность по шкале сейсмической интенсивности MSK-64 1 - 5 баллов)</w:t>
            </w:r>
            <w:proofErr w:type="gramEnd"/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0,2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</w:tcPr>
          <w:p w:rsidR="00655CB2" w:rsidRDefault="00655CB2">
            <w:pPr>
              <w:pStyle w:val="ConsPlusNormal"/>
              <w:jc w:val="center"/>
            </w:pPr>
            <w:proofErr w:type="gramStart"/>
            <w:r>
              <w:t>Средней сложности (глубина работ до 600 м, породы устойчивые и слабоустойчивые, не склонные к самовозгоранию, не опасны по силикозу, газу и пыли, по содержанию радионуклидов отвечают 1 - 2 классу; при строительстве и эксплуатации на отдельных участках требуется применение специальных мер по обеспечению устойчивости кровли и выработанного пространства, сейсмическая опасность района работ по шкале сейсмической интенсивности MSK-64 5 - 7 баллов)</w:t>
            </w:r>
            <w:proofErr w:type="gramEnd"/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 xml:space="preserve">Весьма сложные (глубина работ более 600 м, породы </w:t>
            </w:r>
            <w:r>
              <w:lastRenderedPageBreak/>
              <w:t xml:space="preserve">неустойчивые, склонные к самовозгоранию, </w:t>
            </w:r>
            <w:proofErr w:type="spellStart"/>
            <w:r>
              <w:t>силикозоопасные</w:t>
            </w:r>
            <w:proofErr w:type="spellEnd"/>
            <w:r>
              <w:t>, опасные по газу и пыли, по содержанию радионуклидов относятся к 3 классу, сейсмическая опасность района работ по шкале сейсмической интенсивности MSK-64 выше 7 баллов)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Гидрогеологические условия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</w:pP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proofErr w:type="gramStart"/>
            <w:r>
              <w:t>Простые (</w:t>
            </w:r>
            <w:proofErr w:type="spellStart"/>
            <w:r>
              <w:t>водопритоки</w:t>
            </w:r>
            <w:proofErr w:type="spellEnd"/>
            <w:r>
              <w:t xml:space="preserve"> в выработки до 600 куб. м/ч, специальных осушительных мероприятий и специальной очистки подземных вод не требуется)</w:t>
            </w:r>
            <w:proofErr w:type="gramEnd"/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0,2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Средней сложности (</w:t>
            </w:r>
            <w:proofErr w:type="spellStart"/>
            <w:r>
              <w:t>водопритоки</w:t>
            </w:r>
            <w:proofErr w:type="spellEnd"/>
            <w:r>
              <w:t xml:space="preserve"> в выработки 600 - 2000 тыс. куб. м/</w:t>
            </w:r>
            <w:proofErr w:type="gramStart"/>
            <w:r>
              <w:t>ч</w:t>
            </w:r>
            <w:proofErr w:type="gramEnd"/>
            <w:r>
              <w:t>, необходимо проведение опережающих мер по осушению отдельных участков, сброс вод из выработок может осуществляться без специальных очистителей с применением отстойников)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  <w:tr w:rsidR="00655CB2">
        <w:tc>
          <w:tcPr>
            <w:tcW w:w="1920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521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 xml:space="preserve">Весьма сложные (наличие комплекса осложняющих факторов: </w:t>
            </w:r>
            <w:proofErr w:type="gramStart"/>
            <w:r>
              <w:t>интенсивная</w:t>
            </w:r>
            <w:proofErr w:type="gramEnd"/>
            <w:r>
              <w:t xml:space="preserve"> тектоническая </w:t>
            </w:r>
            <w:proofErr w:type="spellStart"/>
            <w:r>
              <w:t>нарушенность</w:t>
            </w:r>
            <w:proofErr w:type="spellEnd"/>
            <w:r>
              <w:t xml:space="preserve">, наличие карста, тесной гидродинамической связи поверхностных и подземных вод, </w:t>
            </w:r>
            <w:proofErr w:type="spellStart"/>
            <w:r>
              <w:t>водопритоки</w:t>
            </w:r>
            <w:proofErr w:type="spellEnd"/>
            <w:r>
              <w:t xml:space="preserve"> в выработки более 2000 куб. м/ч)</w:t>
            </w:r>
          </w:p>
        </w:tc>
        <w:tc>
          <w:tcPr>
            <w:tcW w:w="1928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right"/>
        <w:outlineLvl w:val="1"/>
      </w:pPr>
      <w:r>
        <w:t>Приложение N 2</w:t>
      </w:r>
    </w:p>
    <w:p w:rsidR="00655CB2" w:rsidRDefault="00655CB2">
      <w:pPr>
        <w:pStyle w:val="ConsPlusNormal"/>
        <w:jc w:val="right"/>
      </w:pPr>
      <w:r>
        <w:t xml:space="preserve">к Порядку определения </w:t>
      </w:r>
      <w:proofErr w:type="gramStart"/>
      <w:r>
        <w:t>конкретных</w:t>
      </w:r>
      <w:proofErr w:type="gramEnd"/>
    </w:p>
    <w:p w:rsidR="00655CB2" w:rsidRDefault="00655CB2">
      <w:pPr>
        <w:pStyle w:val="ConsPlusNormal"/>
        <w:jc w:val="right"/>
      </w:pPr>
      <w:r>
        <w:t>размеров ставок регулярных</w:t>
      </w:r>
    </w:p>
    <w:p w:rsidR="00655CB2" w:rsidRDefault="00655CB2">
      <w:pPr>
        <w:pStyle w:val="ConsPlusNormal"/>
        <w:jc w:val="right"/>
      </w:pPr>
      <w:r>
        <w:t>платежей за пользование недрами,</w:t>
      </w:r>
    </w:p>
    <w:p w:rsidR="00655CB2" w:rsidRDefault="00655CB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55CB2" w:rsidRDefault="00655CB2">
      <w:pPr>
        <w:pStyle w:val="ConsPlusNormal"/>
        <w:jc w:val="right"/>
      </w:pPr>
      <w:r>
        <w:t>Минприроды России</w:t>
      </w:r>
    </w:p>
    <w:p w:rsidR="00655CB2" w:rsidRDefault="00655CB2">
      <w:pPr>
        <w:pStyle w:val="ConsPlusNormal"/>
        <w:jc w:val="right"/>
      </w:pPr>
      <w:r>
        <w:t>от 30.03.2021 N 214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</w:pPr>
      <w:bookmarkStart w:id="3" w:name="P252"/>
      <w:bookmarkEnd w:id="3"/>
      <w:r>
        <w:t>ПОПРАВОЧНЫЕ КОЭФФИЦИЕНТЫ,</w:t>
      </w:r>
    </w:p>
    <w:p w:rsidR="00655CB2" w:rsidRDefault="00655CB2">
      <w:pPr>
        <w:pStyle w:val="ConsPlusTitle"/>
        <w:jc w:val="center"/>
      </w:pPr>
      <w:r>
        <w:t>УЧИТЫВАЮЩИЕ УСЛОВИЯ ПРОВЕДЕНИЯ ГЕОЛОГОРАЗВЕДОЧНЫХ РАБОТ,</w:t>
      </w:r>
    </w:p>
    <w:p w:rsidR="00655CB2" w:rsidRDefault="00655CB2">
      <w:pPr>
        <w:pStyle w:val="ConsPlusTitle"/>
        <w:jc w:val="center"/>
      </w:pPr>
      <w:r>
        <w:t>СТРОИТЕЛЬСТВА И ЭКСПЛУАТАЦИИ ПОДЗЕМНЫХ СООРУЖЕНИЙ,</w:t>
      </w:r>
    </w:p>
    <w:p w:rsidR="00655CB2" w:rsidRDefault="00655CB2">
      <w:pPr>
        <w:pStyle w:val="ConsPlusTitle"/>
        <w:jc w:val="center"/>
      </w:pPr>
      <w:r>
        <w:t>НЕ СВЯЗАННЫХ С ДОБЫЧЕЙ ПОЛЕЗНЫХ ИСКОПАЕМЫХ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2"/>
      </w:pPr>
      <w:r>
        <w:t>1. Экономико-географические условия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3"/>
      </w:pPr>
      <w:r>
        <w:t>Удаленность от портов и экономическая освоенность региона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86"/>
        <w:gridCol w:w="1587"/>
        <w:gridCol w:w="2948"/>
      </w:tblGrid>
      <w:tr w:rsidR="00655CB2">
        <w:tc>
          <w:tcPr>
            <w:tcW w:w="2948" w:type="dxa"/>
            <w:vMerge w:val="restart"/>
          </w:tcPr>
          <w:p w:rsidR="00655CB2" w:rsidRDefault="00655CB2">
            <w:pPr>
              <w:pStyle w:val="ConsPlusNormal"/>
              <w:jc w:val="center"/>
            </w:pPr>
            <w:r>
              <w:t>Степень освоенности региона, удаленность от портов</w:t>
            </w:r>
          </w:p>
        </w:tc>
        <w:tc>
          <w:tcPr>
            <w:tcW w:w="3173" w:type="dxa"/>
            <w:gridSpan w:val="2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  <w:tc>
          <w:tcPr>
            <w:tcW w:w="2948" w:type="dxa"/>
            <w:vMerge w:val="restart"/>
          </w:tcPr>
          <w:p w:rsidR="00655CB2" w:rsidRDefault="00655CB2">
            <w:pPr>
              <w:pStyle w:val="ConsPlusNormal"/>
              <w:jc w:val="center"/>
            </w:pPr>
            <w:r>
              <w:t>Отнесенные акватории, моря</w:t>
            </w:r>
          </w:p>
        </w:tc>
      </w:tr>
      <w:tr w:rsidR="00655CB2">
        <w:tc>
          <w:tcPr>
            <w:tcW w:w="2948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1586" w:type="dxa"/>
          </w:tcPr>
          <w:p w:rsidR="00655CB2" w:rsidRDefault="00655CB2">
            <w:pPr>
              <w:pStyle w:val="ConsPlusNormal"/>
              <w:jc w:val="center"/>
            </w:pPr>
            <w:r>
              <w:t xml:space="preserve">поиска и оценки месторождений полезных </w:t>
            </w:r>
            <w:r>
              <w:lastRenderedPageBreak/>
              <w:t>ископаемых</w:t>
            </w:r>
          </w:p>
        </w:tc>
        <w:tc>
          <w:tcPr>
            <w:tcW w:w="1587" w:type="dxa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разведки полезных ископаемых</w:t>
            </w:r>
          </w:p>
        </w:tc>
        <w:tc>
          <w:tcPr>
            <w:tcW w:w="2948" w:type="dxa"/>
            <w:vMerge/>
          </w:tcPr>
          <w:p w:rsidR="00655CB2" w:rsidRDefault="00655CB2">
            <w:pPr>
              <w:spacing w:after="1" w:line="0" w:lineRule="atLeast"/>
            </w:pPr>
          </w:p>
        </w:tc>
      </w:tr>
      <w:tr w:rsidR="00655CB2">
        <w:tc>
          <w:tcPr>
            <w:tcW w:w="2948" w:type="dxa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Инфраструктура отсутствует или удаленность от портов более 2000 км</w:t>
            </w:r>
          </w:p>
        </w:tc>
        <w:tc>
          <w:tcPr>
            <w:tcW w:w="1586" w:type="dxa"/>
          </w:tcPr>
          <w:p w:rsidR="00655CB2" w:rsidRDefault="00655CB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</w:tcPr>
          <w:p w:rsidR="00655CB2" w:rsidRDefault="00655CB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948" w:type="dxa"/>
          </w:tcPr>
          <w:p w:rsidR="00655CB2" w:rsidRDefault="00655CB2">
            <w:pPr>
              <w:pStyle w:val="ConsPlusNormal"/>
              <w:jc w:val="center"/>
            </w:pPr>
            <w:proofErr w:type="spellStart"/>
            <w:proofErr w:type="gramStart"/>
            <w:r>
              <w:t>Восточно-Сибирское</w:t>
            </w:r>
            <w:proofErr w:type="spellEnd"/>
            <w:proofErr w:type="gramEnd"/>
            <w:r>
              <w:t>, Лаптевых, Чукотское, Берингово, северный сектор Карского</w:t>
            </w:r>
          </w:p>
        </w:tc>
      </w:tr>
      <w:tr w:rsidR="00655CB2">
        <w:tc>
          <w:tcPr>
            <w:tcW w:w="2948" w:type="dxa"/>
          </w:tcPr>
          <w:p w:rsidR="00655CB2" w:rsidRDefault="00655CB2">
            <w:pPr>
              <w:pStyle w:val="ConsPlusNormal"/>
              <w:jc w:val="center"/>
            </w:pPr>
            <w:r>
              <w:t xml:space="preserve">Инфраструктура имеется частично (есть </w:t>
            </w:r>
            <w:proofErr w:type="spellStart"/>
            <w:r>
              <w:t>портпункт</w:t>
            </w:r>
            <w:proofErr w:type="spellEnd"/>
            <w:r>
              <w:t>) или удаленность от портов более 1000 км, но менее 2000 км</w:t>
            </w:r>
          </w:p>
        </w:tc>
        <w:tc>
          <w:tcPr>
            <w:tcW w:w="1586" w:type="dxa"/>
          </w:tcPr>
          <w:p w:rsidR="00655CB2" w:rsidRDefault="00655CB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87" w:type="dxa"/>
          </w:tcPr>
          <w:p w:rsidR="00655CB2" w:rsidRDefault="00655CB2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948" w:type="dxa"/>
          </w:tcPr>
          <w:p w:rsidR="00655CB2" w:rsidRDefault="00655CB2">
            <w:pPr>
              <w:pStyle w:val="ConsPlusNormal"/>
              <w:jc w:val="center"/>
            </w:pPr>
            <w:proofErr w:type="gramStart"/>
            <w:r>
              <w:t>Баренцево</w:t>
            </w:r>
            <w:proofErr w:type="gramEnd"/>
            <w:r>
              <w:t>, южный сектор Карского, Охотское</w:t>
            </w:r>
          </w:p>
        </w:tc>
      </w:tr>
      <w:tr w:rsidR="00655CB2">
        <w:tc>
          <w:tcPr>
            <w:tcW w:w="2948" w:type="dxa"/>
          </w:tcPr>
          <w:p w:rsidR="00655CB2" w:rsidRDefault="00655CB2">
            <w:pPr>
              <w:pStyle w:val="ConsPlusNormal"/>
              <w:jc w:val="center"/>
            </w:pPr>
            <w:r>
              <w:t>Инфраструктура имеется полностью или удаленность от портов до 1000 км</w:t>
            </w:r>
          </w:p>
        </w:tc>
        <w:tc>
          <w:tcPr>
            <w:tcW w:w="1586" w:type="dxa"/>
          </w:tcPr>
          <w:p w:rsidR="00655CB2" w:rsidRDefault="00655C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</w:tcPr>
          <w:p w:rsidR="00655CB2" w:rsidRDefault="00655C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948" w:type="dxa"/>
          </w:tcPr>
          <w:p w:rsidR="00655CB2" w:rsidRDefault="00655CB2">
            <w:pPr>
              <w:pStyle w:val="ConsPlusNormal"/>
              <w:jc w:val="center"/>
            </w:pPr>
            <w:r>
              <w:t>Балтийское, Черное, Азовское, Каспийское, Японское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3"/>
      </w:pPr>
      <w:r>
        <w:t>Климатические условия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2575"/>
        <w:gridCol w:w="2576"/>
      </w:tblGrid>
      <w:tr w:rsidR="00655CB2">
        <w:tc>
          <w:tcPr>
            <w:tcW w:w="3912" w:type="dxa"/>
            <w:vMerge w:val="restart"/>
          </w:tcPr>
          <w:p w:rsidR="00655CB2" w:rsidRDefault="00655CB2">
            <w:pPr>
              <w:pStyle w:val="ConsPlusNormal"/>
              <w:jc w:val="center"/>
            </w:pPr>
            <w:r>
              <w:t>Отнесенные акватории, моря</w:t>
            </w:r>
          </w:p>
        </w:tc>
        <w:tc>
          <w:tcPr>
            <w:tcW w:w="5151" w:type="dxa"/>
            <w:gridSpan w:val="2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</w:tr>
      <w:tr w:rsidR="00655CB2">
        <w:tc>
          <w:tcPr>
            <w:tcW w:w="3912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2575" w:type="dxa"/>
          </w:tcPr>
          <w:p w:rsidR="00655CB2" w:rsidRDefault="00655CB2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2576" w:type="dxa"/>
          </w:tcPr>
          <w:p w:rsidR="00655CB2" w:rsidRDefault="00655CB2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</w:tr>
      <w:tr w:rsidR="00655CB2">
        <w:tc>
          <w:tcPr>
            <w:tcW w:w="3912" w:type="dxa"/>
          </w:tcPr>
          <w:p w:rsidR="00655CB2" w:rsidRDefault="00655CB2">
            <w:pPr>
              <w:pStyle w:val="ConsPlusNormal"/>
              <w:jc w:val="center"/>
            </w:pPr>
            <w:r>
              <w:t xml:space="preserve">моря Баренцево, Карское, </w:t>
            </w:r>
            <w:proofErr w:type="spellStart"/>
            <w:r>
              <w:t>Восточно-Сибирское</w:t>
            </w:r>
            <w:proofErr w:type="spellEnd"/>
            <w:r>
              <w:t>, Лаптевых, Чукотское, Берингово</w:t>
            </w:r>
          </w:p>
        </w:tc>
        <w:tc>
          <w:tcPr>
            <w:tcW w:w="2575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57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0,05</w:t>
            </w:r>
          </w:p>
        </w:tc>
      </w:tr>
      <w:tr w:rsidR="00655CB2">
        <w:tc>
          <w:tcPr>
            <w:tcW w:w="3912" w:type="dxa"/>
          </w:tcPr>
          <w:p w:rsidR="00655CB2" w:rsidRDefault="00655CB2">
            <w:pPr>
              <w:pStyle w:val="ConsPlusNormal"/>
              <w:jc w:val="center"/>
            </w:pPr>
            <w:r>
              <w:t>моря Охотское, Балтийское, Японское</w:t>
            </w:r>
          </w:p>
        </w:tc>
        <w:tc>
          <w:tcPr>
            <w:tcW w:w="2575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57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0,07</w:t>
            </w:r>
          </w:p>
        </w:tc>
      </w:tr>
      <w:tr w:rsidR="00655CB2">
        <w:tc>
          <w:tcPr>
            <w:tcW w:w="3912" w:type="dxa"/>
          </w:tcPr>
          <w:p w:rsidR="00655CB2" w:rsidRDefault="00655CB2">
            <w:pPr>
              <w:pStyle w:val="ConsPlusNormal"/>
              <w:jc w:val="center"/>
            </w:pPr>
            <w:r>
              <w:t>моря Черное, Азовское, Каспийское</w:t>
            </w:r>
          </w:p>
        </w:tc>
        <w:tc>
          <w:tcPr>
            <w:tcW w:w="2575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576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2"/>
      </w:pPr>
      <w:r>
        <w:t>2. Степень геологической изученности территории</w:t>
      </w:r>
    </w:p>
    <w:p w:rsidR="00655CB2" w:rsidRDefault="00655CB2">
      <w:pPr>
        <w:pStyle w:val="ConsPlusNormal"/>
        <w:spacing w:before="220"/>
        <w:jc w:val="center"/>
      </w:pPr>
      <w:r>
        <w:t>и степени риска</w:t>
      </w: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3"/>
      </w:pPr>
      <w:r>
        <w:t>Плотность прогнозных ресурсов углеводородного сырья</w:t>
      </w:r>
    </w:p>
    <w:p w:rsidR="00655CB2" w:rsidRDefault="00655CB2">
      <w:pPr>
        <w:pStyle w:val="ConsPlusTitle"/>
        <w:jc w:val="center"/>
      </w:pPr>
      <w:proofErr w:type="gramStart"/>
      <w:r>
        <w:t>(применяется при расчете размеров ставок регулярных платежей</w:t>
      </w:r>
      <w:proofErr w:type="gramEnd"/>
    </w:p>
    <w:p w:rsidR="00655CB2" w:rsidRDefault="00655CB2">
      <w:pPr>
        <w:pStyle w:val="ConsPlusTitle"/>
        <w:jc w:val="center"/>
      </w:pPr>
      <w:r>
        <w:t>при проведении поисково-оценочных работ)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4526"/>
      </w:tblGrid>
      <w:tr w:rsidR="00655CB2">
        <w:tc>
          <w:tcPr>
            <w:tcW w:w="4525" w:type="dxa"/>
          </w:tcPr>
          <w:p w:rsidR="00655CB2" w:rsidRDefault="00655CB2">
            <w:pPr>
              <w:pStyle w:val="ConsPlusNormal"/>
              <w:jc w:val="center"/>
            </w:pPr>
            <w:r>
              <w:t>Плотность прогнозных ресурсов углеводородного сырья</w:t>
            </w:r>
          </w:p>
          <w:p w:rsidR="00655CB2" w:rsidRDefault="00655CB2">
            <w:pPr>
              <w:pStyle w:val="ConsPlusNormal"/>
              <w:jc w:val="center"/>
            </w:pPr>
            <w:r>
              <w:t xml:space="preserve">(тыс. </w:t>
            </w:r>
            <w:proofErr w:type="spellStart"/>
            <w:r>
              <w:t>т.у.т</w:t>
            </w:r>
            <w:proofErr w:type="spellEnd"/>
            <w:r>
              <w:t>./кв. км)</w:t>
            </w:r>
          </w:p>
        </w:tc>
        <w:tc>
          <w:tcPr>
            <w:tcW w:w="4526" w:type="dxa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 поиска и оценки месторождений полезных ископаемых</w:t>
            </w:r>
          </w:p>
        </w:tc>
      </w:tr>
      <w:tr w:rsidR="00655CB2">
        <w:tc>
          <w:tcPr>
            <w:tcW w:w="4525" w:type="dxa"/>
          </w:tcPr>
          <w:p w:rsidR="00655CB2" w:rsidRDefault="00655CB2">
            <w:pPr>
              <w:pStyle w:val="ConsPlusNormal"/>
              <w:jc w:val="center"/>
            </w:pPr>
            <w:r>
              <w:t>&gt; 200</w:t>
            </w:r>
          </w:p>
        </w:tc>
        <w:tc>
          <w:tcPr>
            <w:tcW w:w="4526" w:type="dxa"/>
          </w:tcPr>
          <w:p w:rsidR="00655CB2" w:rsidRDefault="00655CB2">
            <w:pPr>
              <w:pStyle w:val="ConsPlusNormal"/>
              <w:jc w:val="center"/>
            </w:pPr>
            <w:r>
              <w:t>0,2</w:t>
            </w:r>
          </w:p>
        </w:tc>
      </w:tr>
      <w:tr w:rsidR="00655CB2">
        <w:tc>
          <w:tcPr>
            <w:tcW w:w="4525" w:type="dxa"/>
          </w:tcPr>
          <w:p w:rsidR="00655CB2" w:rsidRDefault="00655CB2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4526" w:type="dxa"/>
          </w:tcPr>
          <w:p w:rsidR="00655CB2" w:rsidRDefault="00655CB2">
            <w:pPr>
              <w:pStyle w:val="ConsPlusNormal"/>
              <w:jc w:val="center"/>
            </w:pPr>
            <w:r>
              <w:t>0,18</w:t>
            </w:r>
          </w:p>
        </w:tc>
      </w:tr>
      <w:tr w:rsidR="00655CB2">
        <w:tc>
          <w:tcPr>
            <w:tcW w:w="4525" w:type="dxa"/>
          </w:tcPr>
          <w:p w:rsidR="00655CB2" w:rsidRDefault="00655CB2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4526" w:type="dxa"/>
          </w:tcPr>
          <w:p w:rsidR="00655CB2" w:rsidRDefault="00655CB2">
            <w:pPr>
              <w:pStyle w:val="ConsPlusNormal"/>
              <w:jc w:val="center"/>
            </w:pPr>
            <w:r>
              <w:t>0,16</w:t>
            </w:r>
          </w:p>
        </w:tc>
      </w:tr>
      <w:tr w:rsidR="00655CB2">
        <w:tc>
          <w:tcPr>
            <w:tcW w:w="4525" w:type="dxa"/>
          </w:tcPr>
          <w:p w:rsidR="00655CB2" w:rsidRDefault="00655CB2">
            <w:pPr>
              <w:pStyle w:val="ConsPlusNormal"/>
              <w:jc w:val="center"/>
            </w:pPr>
            <w:r>
              <w:t>30 - 50</w:t>
            </w:r>
          </w:p>
        </w:tc>
        <w:tc>
          <w:tcPr>
            <w:tcW w:w="4526" w:type="dxa"/>
          </w:tcPr>
          <w:p w:rsidR="00655CB2" w:rsidRDefault="00655CB2">
            <w:pPr>
              <w:pStyle w:val="ConsPlusNormal"/>
              <w:jc w:val="center"/>
            </w:pPr>
            <w:r>
              <w:t>0,14</w:t>
            </w:r>
          </w:p>
        </w:tc>
      </w:tr>
      <w:tr w:rsidR="00655CB2">
        <w:tc>
          <w:tcPr>
            <w:tcW w:w="4525" w:type="dxa"/>
          </w:tcPr>
          <w:p w:rsidR="00655CB2" w:rsidRDefault="00655CB2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4526" w:type="dxa"/>
          </w:tcPr>
          <w:p w:rsidR="00655CB2" w:rsidRDefault="00655CB2">
            <w:pPr>
              <w:pStyle w:val="ConsPlusNormal"/>
              <w:jc w:val="center"/>
            </w:pPr>
            <w:r>
              <w:t>0,12</w:t>
            </w:r>
          </w:p>
        </w:tc>
      </w:tr>
      <w:tr w:rsidR="00655CB2">
        <w:tc>
          <w:tcPr>
            <w:tcW w:w="4525" w:type="dxa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5 - 0</w:t>
            </w:r>
          </w:p>
        </w:tc>
        <w:tc>
          <w:tcPr>
            <w:tcW w:w="4526" w:type="dxa"/>
          </w:tcPr>
          <w:p w:rsidR="00655CB2" w:rsidRDefault="00655CB2">
            <w:pPr>
              <w:pStyle w:val="ConsPlusNormal"/>
              <w:jc w:val="center"/>
            </w:pPr>
            <w:r>
              <w:t>0,11</w:t>
            </w:r>
          </w:p>
        </w:tc>
      </w:tr>
      <w:tr w:rsidR="00655CB2">
        <w:tc>
          <w:tcPr>
            <w:tcW w:w="4525" w:type="dxa"/>
          </w:tcPr>
          <w:p w:rsidR="00655CB2" w:rsidRDefault="00655CB2">
            <w:pPr>
              <w:pStyle w:val="ConsPlusNormal"/>
              <w:jc w:val="center"/>
            </w:pPr>
            <w:r>
              <w:t>&lt; 5</w:t>
            </w:r>
          </w:p>
        </w:tc>
        <w:tc>
          <w:tcPr>
            <w:tcW w:w="4526" w:type="dxa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3"/>
      </w:pPr>
      <w:r>
        <w:t>Плотность прогнозных ресурсов иных видов полезных ископаемых</w:t>
      </w:r>
    </w:p>
    <w:p w:rsidR="00655CB2" w:rsidRDefault="00655CB2">
      <w:pPr>
        <w:pStyle w:val="ConsPlusTitle"/>
        <w:jc w:val="center"/>
      </w:pPr>
      <w:proofErr w:type="gramStart"/>
      <w:r>
        <w:t>(применяется при расчете размеров ставок регулярных платежей</w:t>
      </w:r>
      <w:proofErr w:type="gramEnd"/>
    </w:p>
    <w:p w:rsidR="00655CB2" w:rsidRDefault="00655CB2">
      <w:pPr>
        <w:pStyle w:val="ConsPlusTitle"/>
        <w:jc w:val="center"/>
      </w:pPr>
      <w:r>
        <w:t>при проведении поисково-оценочных работ)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3"/>
        <w:gridCol w:w="4524"/>
      </w:tblGrid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Плотность прогнозных ресурсов</w:t>
            </w:r>
          </w:p>
          <w:p w:rsidR="00655CB2" w:rsidRDefault="00655CB2">
            <w:pPr>
              <w:pStyle w:val="ConsPlusNormal"/>
              <w:jc w:val="center"/>
            </w:pPr>
            <w:r>
              <w:t>(тыс. т/кв. км)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 поиска и оценки месторождений полезных ископаемых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&gt; 200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0,2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0,18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0,16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30 - 50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0,14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0,12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0,11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&lt; 5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3"/>
      </w:pPr>
      <w:r>
        <w:t>Плотность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>) углеводородного сырья</w:t>
      </w:r>
    </w:p>
    <w:p w:rsidR="00655CB2" w:rsidRDefault="00655CB2">
      <w:pPr>
        <w:pStyle w:val="ConsPlusTitle"/>
        <w:jc w:val="center"/>
      </w:pPr>
      <w:proofErr w:type="gramStart"/>
      <w:r>
        <w:t>(применяется при расчете ставок регулярных платежей</w:t>
      </w:r>
      <w:proofErr w:type="gramEnd"/>
    </w:p>
    <w:p w:rsidR="00655CB2" w:rsidRDefault="00655CB2">
      <w:pPr>
        <w:pStyle w:val="ConsPlusTitle"/>
        <w:jc w:val="center"/>
      </w:pPr>
      <w:r>
        <w:t>при проведении разведочных работ)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3"/>
        <w:gridCol w:w="4524"/>
      </w:tblGrid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Плотность запасов углеводородного сырья</w:t>
            </w:r>
          </w:p>
          <w:p w:rsidR="00655CB2" w:rsidRDefault="00655CB2">
            <w:pPr>
              <w:pStyle w:val="ConsPlusNormal"/>
              <w:jc w:val="center"/>
            </w:pPr>
            <w:r>
              <w:t xml:space="preserve">(тыс. </w:t>
            </w:r>
            <w:proofErr w:type="spellStart"/>
            <w:r>
              <w:t>т.у.т</w:t>
            </w:r>
            <w:proofErr w:type="spellEnd"/>
            <w:r>
              <w:t>./кв. км)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&gt; 2500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0,2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1500 - 2500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0,18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1000 - 1500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0,16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0,14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100 - 500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0,12</w:t>
            </w:r>
          </w:p>
        </w:tc>
      </w:tr>
      <w:tr w:rsidR="00655CB2">
        <w:tc>
          <w:tcPr>
            <w:tcW w:w="4523" w:type="dxa"/>
          </w:tcPr>
          <w:p w:rsidR="00655CB2" w:rsidRDefault="00655CB2">
            <w:pPr>
              <w:pStyle w:val="ConsPlusNormal"/>
              <w:jc w:val="center"/>
            </w:pPr>
            <w:r>
              <w:t>&lt; 100</w:t>
            </w:r>
          </w:p>
        </w:tc>
        <w:tc>
          <w:tcPr>
            <w:tcW w:w="4524" w:type="dxa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3"/>
      </w:pPr>
      <w:r>
        <w:t>Плотность запасов (C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2</w:t>
      </w:r>
      <w:r>
        <w:t>) иных видов полезных ископаемых</w:t>
      </w:r>
    </w:p>
    <w:p w:rsidR="00655CB2" w:rsidRDefault="00655CB2">
      <w:pPr>
        <w:pStyle w:val="ConsPlusTitle"/>
        <w:jc w:val="center"/>
      </w:pPr>
      <w:proofErr w:type="gramStart"/>
      <w:r>
        <w:t>(применяется при расчете размеров ставок регулярных платежей</w:t>
      </w:r>
      <w:proofErr w:type="gramEnd"/>
    </w:p>
    <w:p w:rsidR="00655CB2" w:rsidRDefault="00655CB2">
      <w:pPr>
        <w:pStyle w:val="ConsPlusTitle"/>
        <w:jc w:val="center"/>
      </w:pPr>
      <w:r>
        <w:t>при проведении разведочных работ)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3"/>
        <w:gridCol w:w="4524"/>
      </w:tblGrid>
      <w:tr w:rsidR="00655CB2">
        <w:tc>
          <w:tcPr>
            <w:tcW w:w="4523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Плотность запасов полезных ископаемых (тыс. т/кв. км)</w:t>
            </w:r>
          </w:p>
        </w:tc>
        <w:tc>
          <w:tcPr>
            <w:tcW w:w="4524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655CB2">
        <w:tc>
          <w:tcPr>
            <w:tcW w:w="4523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lastRenderedPageBreak/>
              <w:t>&gt; 2500</w:t>
            </w:r>
          </w:p>
        </w:tc>
        <w:tc>
          <w:tcPr>
            <w:tcW w:w="4524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0,2</w:t>
            </w:r>
          </w:p>
        </w:tc>
      </w:tr>
      <w:tr w:rsidR="00655CB2">
        <w:tc>
          <w:tcPr>
            <w:tcW w:w="4523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1500 - 2500</w:t>
            </w:r>
          </w:p>
        </w:tc>
        <w:tc>
          <w:tcPr>
            <w:tcW w:w="4524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0,18</w:t>
            </w:r>
          </w:p>
        </w:tc>
      </w:tr>
      <w:tr w:rsidR="00655CB2">
        <w:tc>
          <w:tcPr>
            <w:tcW w:w="4523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1000 - 1500</w:t>
            </w:r>
          </w:p>
        </w:tc>
        <w:tc>
          <w:tcPr>
            <w:tcW w:w="4524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0,16</w:t>
            </w:r>
          </w:p>
        </w:tc>
      </w:tr>
      <w:tr w:rsidR="00655CB2">
        <w:tc>
          <w:tcPr>
            <w:tcW w:w="4523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4524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0,14</w:t>
            </w:r>
          </w:p>
        </w:tc>
      </w:tr>
      <w:tr w:rsidR="00655CB2">
        <w:tc>
          <w:tcPr>
            <w:tcW w:w="4523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100 - 500</w:t>
            </w:r>
          </w:p>
        </w:tc>
        <w:tc>
          <w:tcPr>
            <w:tcW w:w="4524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0,12</w:t>
            </w:r>
          </w:p>
        </w:tc>
      </w:tr>
      <w:tr w:rsidR="00655CB2">
        <w:tc>
          <w:tcPr>
            <w:tcW w:w="4523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&lt; 100</w:t>
            </w:r>
          </w:p>
        </w:tc>
        <w:tc>
          <w:tcPr>
            <w:tcW w:w="4524" w:type="dxa"/>
            <w:vAlign w:val="center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3"/>
      </w:pPr>
      <w:r>
        <w:t>Глубина залегания продуктивных горизонтов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405"/>
        <w:gridCol w:w="3405"/>
      </w:tblGrid>
      <w:tr w:rsidR="00655CB2">
        <w:tc>
          <w:tcPr>
            <w:tcW w:w="2211" w:type="dxa"/>
          </w:tcPr>
          <w:p w:rsidR="00655CB2" w:rsidRDefault="00655CB2">
            <w:pPr>
              <w:pStyle w:val="ConsPlusNormal"/>
              <w:jc w:val="center"/>
            </w:pPr>
            <w:r>
              <w:t xml:space="preserve">Глубина, </w:t>
            </w:r>
            <w:proofErr w:type="gramStart"/>
            <w:r>
              <w:t>км</w:t>
            </w:r>
            <w:proofErr w:type="gramEnd"/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 поиска и оценки месторождений полезных ископаемых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 разведки полезных ископаемых</w:t>
            </w:r>
          </w:p>
        </w:tc>
      </w:tr>
      <w:tr w:rsidR="00655CB2">
        <w:tc>
          <w:tcPr>
            <w:tcW w:w="2211" w:type="dxa"/>
          </w:tcPr>
          <w:p w:rsidR="00655CB2" w:rsidRDefault="00655CB2">
            <w:pPr>
              <w:pStyle w:val="ConsPlusNormal"/>
              <w:jc w:val="center"/>
            </w:pPr>
            <w:r>
              <w:t>До 1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0,4</w:t>
            </w:r>
          </w:p>
        </w:tc>
      </w:tr>
      <w:tr w:rsidR="00655CB2">
        <w:tc>
          <w:tcPr>
            <w:tcW w:w="2211" w:type="dxa"/>
          </w:tcPr>
          <w:p w:rsidR="00655CB2" w:rsidRDefault="00655CB2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0,3</w:t>
            </w:r>
          </w:p>
        </w:tc>
      </w:tr>
      <w:tr w:rsidR="00655CB2">
        <w:tc>
          <w:tcPr>
            <w:tcW w:w="2211" w:type="dxa"/>
          </w:tcPr>
          <w:p w:rsidR="00655CB2" w:rsidRDefault="00655CB2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0,2</w:t>
            </w:r>
          </w:p>
        </w:tc>
      </w:tr>
      <w:tr w:rsidR="00655CB2">
        <w:tc>
          <w:tcPr>
            <w:tcW w:w="2211" w:type="dxa"/>
          </w:tcPr>
          <w:p w:rsidR="00655CB2" w:rsidRDefault="00655CB2">
            <w:pPr>
              <w:pStyle w:val="ConsPlusNormal"/>
              <w:jc w:val="center"/>
            </w:pPr>
            <w:r>
              <w:t>От 5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405" w:type="dxa"/>
          </w:tcPr>
          <w:p w:rsidR="00655CB2" w:rsidRDefault="00655CB2">
            <w:pPr>
              <w:pStyle w:val="ConsPlusNormal"/>
              <w:jc w:val="center"/>
            </w:pPr>
            <w:r>
              <w:t>0,1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Title"/>
        <w:jc w:val="center"/>
        <w:outlineLvl w:val="3"/>
      </w:pPr>
      <w:r>
        <w:t>Продолжительность работ</w:t>
      </w:r>
    </w:p>
    <w:p w:rsidR="00655CB2" w:rsidRDefault="00655C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1"/>
        <w:gridCol w:w="2117"/>
        <w:gridCol w:w="2118"/>
      </w:tblGrid>
      <w:tr w:rsidR="00655CB2">
        <w:tc>
          <w:tcPr>
            <w:tcW w:w="4781" w:type="dxa"/>
            <w:vMerge w:val="restart"/>
          </w:tcPr>
          <w:p w:rsidR="00655CB2" w:rsidRDefault="00655CB2">
            <w:pPr>
              <w:pStyle w:val="ConsPlusNormal"/>
              <w:jc w:val="center"/>
            </w:pPr>
            <w:r>
              <w:t>Год пользования участком недр, исчисленный с квартала, следующего за кварталом, в котором сформирована реестровая запись в государственном реестре участков недр, предоставленных в пользование, и лицензий на пользование участками недр, или государственном реестре работ по геологическому изучению недр</w:t>
            </w:r>
          </w:p>
        </w:tc>
        <w:tc>
          <w:tcPr>
            <w:tcW w:w="4235" w:type="dxa"/>
            <w:gridSpan w:val="2"/>
          </w:tcPr>
          <w:p w:rsidR="00655CB2" w:rsidRDefault="00655CB2">
            <w:pPr>
              <w:pStyle w:val="ConsPlusNormal"/>
              <w:jc w:val="center"/>
            </w:pPr>
            <w:r>
              <w:t>Оценка влияния фактора при пользовании недрами в целях</w:t>
            </w:r>
          </w:p>
        </w:tc>
      </w:tr>
      <w:tr w:rsidR="00655CB2">
        <w:tc>
          <w:tcPr>
            <w:tcW w:w="4781" w:type="dxa"/>
            <w:vMerge/>
          </w:tcPr>
          <w:p w:rsidR="00655CB2" w:rsidRDefault="00655CB2">
            <w:pPr>
              <w:spacing w:after="1" w:line="0" w:lineRule="atLeast"/>
            </w:pP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поиска и оценки месторождений полезных ископаемых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разведки полезных ископаемых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0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0,03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0,06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0,11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0,16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0,21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7-й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0,27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8-й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-</w:t>
            </w:r>
          </w:p>
        </w:tc>
      </w:tr>
      <w:tr w:rsidR="00655CB2">
        <w:tc>
          <w:tcPr>
            <w:tcW w:w="4781" w:type="dxa"/>
          </w:tcPr>
          <w:p w:rsidR="00655CB2" w:rsidRDefault="00655CB2">
            <w:pPr>
              <w:pStyle w:val="ConsPlusNormal"/>
              <w:jc w:val="center"/>
            </w:pPr>
            <w:r>
              <w:t>9-й год</w:t>
            </w:r>
          </w:p>
        </w:tc>
        <w:tc>
          <w:tcPr>
            <w:tcW w:w="2117" w:type="dxa"/>
          </w:tcPr>
          <w:p w:rsidR="00655CB2" w:rsidRDefault="00655CB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2118" w:type="dxa"/>
          </w:tcPr>
          <w:p w:rsidR="00655CB2" w:rsidRDefault="00655CB2">
            <w:pPr>
              <w:pStyle w:val="ConsPlusNormal"/>
              <w:jc w:val="center"/>
            </w:pPr>
            <w:r>
              <w:t>-</w:t>
            </w:r>
          </w:p>
        </w:tc>
      </w:tr>
    </w:tbl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jc w:val="both"/>
      </w:pPr>
    </w:p>
    <w:p w:rsidR="00655CB2" w:rsidRDefault="00655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655CB2"/>
    <w:sectPr w:rsidR="00615FEE" w:rsidSect="0072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55CB2"/>
    <w:rsid w:val="002F4C3F"/>
    <w:rsid w:val="00655CB2"/>
    <w:rsid w:val="008862A7"/>
    <w:rsid w:val="00CE5D39"/>
    <w:rsid w:val="00DC421E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CB2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CB2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CB2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9C3EAD6B9C810024E40DCD152544223C75C7F78F411341F9C2347D2B19C38809EC4E3C52C465EEC0A6B02F084CC83E9428A9421Z2L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B9C3EAD6B9C810024E40DCD152544221C9567C72F211341F9C2347D2B19C38929E9CEFC22B530ABE503C0FF1Z8L7J" TargetMode="External"/><Relationship Id="rId12" Type="http://schemas.openxmlformats.org/officeDocument/2006/relationships/hyperlink" Target="consultantplus://offline/ref=E2B9C3EAD6B9C810024E40DCD152544223C85A7379F811341F9C2347D2B19C38809EC4E3C12A4D0BBC456A5EB7D0DF80EB4288973D20A6C6ZCL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9C3EAD6B9C810024E40DCD152544224CE5E7972F911341F9C2347D2B19C38809EC4E3C12A4D0FBD456A5EB7D0DF80EB4288973D20A6C6ZCLDJ" TargetMode="External"/><Relationship Id="rId11" Type="http://schemas.openxmlformats.org/officeDocument/2006/relationships/hyperlink" Target="consultantplus://offline/ref=E2B9C3EAD6B9C810024E40DCD152544223C75C7F78F411341F9C2347D2B19C38809EC4E3C12A4909BC456A5EB7D0DF80EB4288973D20A6C6ZCLDJ" TargetMode="External"/><Relationship Id="rId5" Type="http://schemas.openxmlformats.org/officeDocument/2006/relationships/hyperlink" Target="consultantplus://offline/ref=E2B9C3EAD6B9C810024E40DCD152544223C75C7F78F411341F9C2347D2B19C38809EC4E3C52C465EEC0A6B02F084CC83E9428A9421Z2L0J" TargetMode="External"/><Relationship Id="rId10" Type="http://schemas.openxmlformats.org/officeDocument/2006/relationships/hyperlink" Target="consultantplus://offline/ref=E2B9C3EAD6B9C810024E40DCD152544223C75C7F78F411341F9C2347D2B19C38809EC4E3C52D465EEC0A6B02F084CC83E9428A9421Z2L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B9C3EAD6B9C810024E40DCD152544224CE5E7972F911341F9C2347D2B19C38809EC4E3C12A4D0FBD456A5EB7D0DF80EB4288973D20A6C6ZCL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3222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2022-03-31T09:11:00Z</dcterms:created>
  <dcterms:modified xsi:type="dcterms:W3CDTF">2022-03-31T09:11:00Z</dcterms:modified>
</cp:coreProperties>
</file>